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5CE48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Warsztaty lokalnego rozwoju społeczno-gospodarczego</w:t>
      </w:r>
    </w:p>
    <w:p w14:paraId="40376278" w14:textId="34CCE7F9" w:rsidR="00EF75BA" w:rsidRPr="005D3346" w:rsidRDefault="00090D4E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592A70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11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.2022 r.</w:t>
      </w:r>
    </w:p>
    <w:p w14:paraId="27C965EB" w14:textId="38FE1826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podregion </w:t>
      </w:r>
      <w:r w:rsidR="00592A70">
        <w:rPr>
          <w:rFonts w:eastAsia="Times New Roman" w:cstheme="minorHAnsi"/>
          <w:b/>
          <w:bCs/>
          <w:sz w:val="24"/>
          <w:szCs w:val="24"/>
          <w:lang w:eastAsia="pl-PL"/>
        </w:rPr>
        <w:t>sosnowiecki</w:t>
      </w:r>
    </w:p>
    <w:p w14:paraId="7457B76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6B798C1" w14:textId="488D5250" w:rsidR="003D1673" w:rsidRDefault="00EF75BA" w:rsidP="003D1673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3D1673" w:rsidRPr="003D1673">
        <w:rPr>
          <w:rFonts w:eastAsia="Times New Roman" w:cstheme="minorHAnsi"/>
          <w:sz w:val="24"/>
          <w:szCs w:val="24"/>
          <w:lang w:eastAsia="pl-PL"/>
        </w:rPr>
        <w:t>HOTEL Ostaniec,</w:t>
      </w:r>
      <w:r w:rsidR="003D1673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3D1673" w:rsidRPr="003D1673">
        <w:rPr>
          <w:rFonts w:eastAsia="Times New Roman" w:cstheme="minorHAnsi"/>
          <w:sz w:val="24"/>
          <w:szCs w:val="24"/>
          <w:lang w:eastAsia="pl-PL"/>
        </w:rPr>
        <w:t>Podlesice 82, 42-425 Kroczyce</w:t>
      </w:r>
    </w:p>
    <w:p w14:paraId="65CC572A" w14:textId="1BC88589" w:rsidR="00EF75BA" w:rsidRPr="005D3346" w:rsidRDefault="00EF75BA" w:rsidP="003D1673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……………………………………………………………………..</w:t>
      </w:r>
    </w:p>
    <w:p w14:paraId="090166F4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……………………………………………………………………..</w:t>
      </w:r>
    </w:p>
    <w:p w14:paraId="15D757F7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……………………………………………………………………..</w:t>
      </w:r>
    </w:p>
    <w:p w14:paraId="0156507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……………………………………………………………………..</w:t>
      </w:r>
    </w:p>
    <w:p w14:paraId="675A6FE6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……………………………………………………………………..</w:t>
      </w:r>
    </w:p>
    <w:p w14:paraId="1383B60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……………………………………………………………………..</w:t>
      </w:r>
    </w:p>
    <w:p w14:paraId="3EEA1570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……………………………………………………………………..</w:t>
      </w:r>
    </w:p>
    <w:p w14:paraId="354531B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B53CAE4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8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 xml:space="preserve">, NIP: 634-10-12-786, REGON: 271505490, wpisana pod nr 0000095169 do Rejestru Przedsiębiorców KRS, wpisana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9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B350D73" w14:textId="53F6EADF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29D4A39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10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98F14A0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EAEC90" w14:textId="77777777" w:rsidR="00562430" w:rsidRPr="005D3346" w:rsidRDefault="00562430" w:rsidP="00EF75BA">
      <w:pPr>
        <w:rPr>
          <w:rFonts w:cstheme="minorHAnsi"/>
          <w:sz w:val="24"/>
          <w:szCs w:val="24"/>
        </w:rPr>
      </w:pPr>
    </w:p>
    <w:sectPr w:rsidR="00562430" w:rsidRPr="005D3346" w:rsidSect="00DE0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12EB5" w14:textId="77777777" w:rsidR="00090D4E" w:rsidRDefault="00090D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99124" wp14:editId="12585A8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AE69CB" id="Łącznik prostoliniowy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355BB8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B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BB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355BB8" w:rsidP="00BD1BD6">
    <w:pPr>
      <w:jc w:val="both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5F4FF" w14:textId="77777777" w:rsidR="00090D4E" w:rsidRDefault="00090D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87221" w14:textId="77777777" w:rsidR="00090D4E" w:rsidRDefault="00090D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5B70A" w14:textId="79417657" w:rsidR="0016219F" w:rsidRDefault="00090D4E" w:rsidP="0016219F">
    <w:pPr>
      <w:pStyle w:val="Nagwek"/>
      <w:jc w:val="center"/>
    </w:pPr>
    <w:r w:rsidRPr="002C474A">
      <w:rPr>
        <w:noProof/>
        <w:lang w:eastAsia="pl-PL"/>
      </w:rPr>
      <w:drawing>
        <wp:inline distT="0" distB="0" distL="0" distR="0" wp14:anchorId="70FC315F" wp14:editId="15FF06F2">
          <wp:extent cx="5760720" cy="406891"/>
          <wp:effectExtent l="0" t="0" r="0" b="0"/>
          <wp:docPr id="2" name="Obraz 2" descr="C:\Users\Kasia\AppData\Local\Microsoft\Windows\INetCache\Content.Outlook\TXX411ER\UE EFRP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AppData\Local\Microsoft\Windows\INetCache\Content.Outlook\TXX411ER\UE EFRP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A68F20" wp14:editId="7307EE92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5CF31C" id="Łącznik prostoliniowy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355B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324A5" w14:textId="77777777" w:rsidR="00090D4E" w:rsidRDefault="00090D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4"/>
  </w:num>
  <w:num w:numId="5">
    <w:abstractNumId w:val="16"/>
  </w:num>
  <w:num w:numId="6">
    <w:abstractNumId w:val="8"/>
  </w:num>
  <w:num w:numId="7">
    <w:abstractNumId w:val="38"/>
  </w:num>
  <w:num w:numId="8">
    <w:abstractNumId w:val="23"/>
  </w:num>
  <w:num w:numId="9">
    <w:abstractNumId w:val="35"/>
  </w:num>
  <w:num w:numId="10">
    <w:abstractNumId w:val="43"/>
  </w:num>
  <w:num w:numId="11">
    <w:abstractNumId w:val="30"/>
  </w:num>
  <w:num w:numId="12">
    <w:abstractNumId w:val="39"/>
  </w:num>
  <w:num w:numId="13">
    <w:abstractNumId w:val="29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41"/>
  </w:num>
  <w:num w:numId="21">
    <w:abstractNumId w:val="33"/>
  </w:num>
  <w:num w:numId="22">
    <w:abstractNumId w:val="36"/>
  </w:num>
  <w:num w:numId="23">
    <w:abstractNumId w:val="28"/>
  </w:num>
  <w:num w:numId="24">
    <w:abstractNumId w:val="9"/>
  </w:num>
  <w:num w:numId="25">
    <w:abstractNumId w:val="32"/>
  </w:num>
  <w:num w:numId="26">
    <w:abstractNumId w:val="34"/>
  </w:num>
  <w:num w:numId="27">
    <w:abstractNumId w:val="4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2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22"/>
  </w:num>
  <w:num w:numId="37">
    <w:abstractNumId w:val="13"/>
  </w:num>
  <w:num w:numId="38">
    <w:abstractNumId w:val="0"/>
  </w:num>
  <w:num w:numId="39">
    <w:abstractNumId w:val="18"/>
  </w:num>
  <w:num w:numId="40">
    <w:abstractNumId w:val="1"/>
  </w:num>
  <w:num w:numId="41">
    <w:abstractNumId w:val="31"/>
  </w:num>
  <w:num w:numId="42">
    <w:abstractNumId w:val="4"/>
  </w:num>
  <w:num w:numId="43">
    <w:abstractNumId w:val="15"/>
  </w:num>
  <w:num w:numId="44">
    <w:abstractNumId w:val="19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0"/>
    <w:rsid w:val="00090D4E"/>
    <w:rsid w:val="00191901"/>
    <w:rsid w:val="001C0D4C"/>
    <w:rsid w:val="002D28A1"/>
    <w:rsid w:val="00355BB8"/>
    <w:rsid w:val="003728D3"/>
    <w:rsid w:val="003D1673"/>
    <w:rsid w:val="003E60DE"/>
    <w:rsid w:val="00562430"/>
    <w:rsid w:val="00592A70"/>
    <w:rsid w:val="005D3346"/>
    <w:rsid w:val="00827D11"/>
    <w:rsid w:val="00945B55"/>
    <w:rsid w:val="009968F0"/>
    <w:rsid w:val="009A2787"/>
    <w:rsid w:val="009B527A"/>
    <w:rsid w:val="00BA0143"/>
    <w:rsid w:val="00BC2CA3"/>
    <w:rsid w:val="00BD0A85"/>
    <w:rsid w:val="00BD5626"/>
    <w:rsid w:val="00D649C5"/>
    <w:rsid w:val="00D84128"/>
    <w:rsid w:val="00DE07EF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iuro@giph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ph.com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AZ</cp:lastModifiedBy>
  <cp:revision>10</cp:revision>
  <cp:lastPrinted>2022-06-27T07:55:00Z</cp:lastPrinted>
  <dcterms:created xsi:type="dcterms:W3CDTF">2022-06-27T07:56:00Z</dcterms:created>
  <dcterms:modified xsi:type="dcterms:W3CDTF">2022-10-28T08:16:00Z</dcterms:modified>
</cp:coreProperties>
</file>