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540111" w14:textId="555C0D7F" w:rsidR="00FE7728" w:rsidRDefault="0043515E" w:rsidP="00763981">
      <w:pPr>
        <w:spacing w:after="0" w:line="360" w:lineRule="auto"/>
        <w:jc w:val="center"/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 w:rsidRPr="00545F1B">
        <w:rPr>
          <w:rFonts w:cstheme="minorHAnsi"/>
          <w:b/>
          <w:sz w:val="24"/>
          <w:szCs w:val="24"/>
        </w:rPr>
        <w:t xml:space="preserve">Rozeznanie rynku </w:t>
      </w:r>
      <w:r w:rsidR="009C4E3D" w:rsidRPr="00545F1B">
        <w:rPr>
          <w:rFonts w:cstheme="minorHAnsi"/>
          <w:b/>
          <w:bCs/>
          <w:sz w:val="24"/>
          <w:szCs w:val="24"/>
        </w:rPr>
        <w:t>dotyczące</w:t>
      </w:r>
      <w:r w:rsidR="00FE7728">
        <w:rPr>
          <w:rFonts w:cstheme="minorHAnsi"/>
          <w:b/>
          <w:bCs/>
          <w:sz w:val="24"/>
          <w:szCs w:val="24"/>
        </w:rPr>
        <w:t xml:space="preserve"> wynajmu auto</w:t>
      </w:r>
      <w:r w:rsidR="00A76356">
        <w:rPr>
          <w:rFonts w:cstheme="minorHAnsi"/>
          <w:b/>
          <w:bCs/>
          <w:sz w:val="24"/>
          <w:szCs w:val="24"/>
        </w:rPr>
        <w:t>karu/</w:t>
      </w:r>
      <w:proofErr w:type="spellStart"/>
      <w:r w:rsidR="00A76356">
        <w:rPr>
          <w:rFonts w:cstheme="minorHAnsi"/>
          <w:b/>
          <w:bCs/>
          <w:sz w:val="24"/>
          <w:szCs w:val="24"/>
        </w:rPr>
        <w:t>busa</w:t>
      </w:r>
      <w:proofErr w:type="spellEnd"/>
      <w:r w:rsidR="00A76356">
        <w:rPr>
          <w:rFonts w:cstheme="minorHAnsi"/>
          <w:b/>
          <w:bCs/>
          <w:sz w:val="24"/>
          <w:szCs w:val="24"/>
        </w:rPr>
        <w:t xml:space="preserve"> do przewozu grupy maks. </w:t>
      </w:r>
      <w:r w:rsidR="00FE7728">
        <w:rPr>
          <w:rFonts w:cstheme="minorHAnsi"/>
          <w:b/>
          <w:bCs/>
          <w:sz w:val="24"/>
          <w:szCs w:val="24"/>
        </w:rPr>
        <w:t xml:space="preserve">20 osób na trasie Lubin – Katowice – Lubin oraz przejazdów lokalnych w Katowicach </w:t>
      </w:r>
    </w:p>
    <w:p w14:paraId="369AFD18" w14:textId="50B9AFD5" w:rsidR="0043515E" w:rsidRPr="00545F1B" w:rsidRDefault="00FE7728" w:rsidP="0076398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dniu 23 maja 2024 roku</w:t>
      </w:r>
    </w:p>
    <w:p w14:paraId="72EC60A6" w14:textId="77777777" w:rsidR="0043515E" w:rsidRPr="00545F1B" w:rsidRDefault="0043515E" w:rsidP="00763981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144C5D3" w14:textId="77777777" w:rsidR="0043515E" w:rsidRPr="00545F1B" w:rsidRDefault="0043515E" w:rsidP="00763981">
      <w:pPr>
        <w:spacing w:after="0" w:line="360" w:lineRule="auto"/>
        <w:rPr>
          <w:rFonts w:cstheme="minorHAnsi"/>
          <w:sz w:val="24"/>
          <w:szCs w:val="24"/>
        </w:rPr>
      </w:pPr>
      <w:r w:rsidRPr="00545F1B">
        <w:rPr>
          <w:rFonts w:cstheme="minorHAnsi"/>
          <w:sz w:val="24"/>
          <w:szCs w:val="24"/>
        </w:rPr>
        <w:t xml:space="preserve">Górnicza Izba Przemysłowo-Handlowa zaprasza do składania ofert na realizację przedmiotu niniejszego zapytania o cenę. </w:t>
      </w:r>
    </w:p>
    <w:p w14:paraId="766623DD" w14:textId="7C4417A4" w:rsidR="00763981" w:rsidRPr="00545F1B" w:rsidRDefault="009C4E3D" w:rsidP="00ED1C72">
      <w:pPr>
        <w:spacing w:after="0" w:line="360" w:lineRule="auto"/>
        <w:rPr>
          <w:rFonts w:cstheme="minorHAnsi"/>
          <w:sz w:val="24"/>
          <w:szCs w:val="24"/>
        </w:rPr>
      </w:pPr>
      <w:r w:rsidRPr="00545F1B">
        <w:rPr>
          <w:rFonts w:cstheme="minorHAnsi"/>
          <w:sz w:val="24"/>
          <w:szCs w:val="24"/>
        </w:rPr>
        <w:t xml:space="preserve">Rozeznanie rynku realizowane jest w ramach zadania </w:t>
      </w:r>
      <w:r w:rsidR="00ED1C72">
        <w:rPr>
          <w:rFonts w:cstheme="minorHAnsi"/>
          <w:sz w:val="24"/>
          <w:szCs w:val="24"/>
        </w:rPr>
        <w:t>„</w:t>
      </w:r>
      <w:r w:rsidR="00ED1C72" w:rsidRPr="00ED1C72">
        <w:rPr>
          <w:rFonts w:cstheme="minorHAnsi"/>
          <w:sz w:val="24"/>
          <w:szCs w:val="24"/>
        </w:rPr>
        <w:t>Wyjazd studyjny nauczycieli i dorad</w:t>
      </w:r>
      <w:r w:rsidR="00ED1C72">
        <w:rPr>
          <w:rFonts w:cstheme="minorHAnsi"/>
          <w:sz w:val="24"/>
          <w:szCs w:val="24"/>
        </w:rPr>
        <w:t xml:space="preserve">ców zawodowych do zakładu pracy </w:t>
      </w:r>
      <w:r w:rsidR="00ED1C72" w:rsidRPr="00ED1C72">
        <w:rPr>
          <w:rFonts w:cstheme="minorHAnsi"/>
          <w:sz w:val="24"/>
          <w:szCs w:val="24"/>
        </w:rPr>
        <w:t>związanego z branżą górniczą na Górnym Śląsku</w:t>
      </w:r>
      <w:r w:rsidR="00ED1C72">
        <w:rPr>
          <w:rFonts w:cstheme="minorHAnsi"/>
          <w:sz w:val="24"/>
          <w:szCs w:val="24"/>
        </w:rPr>
        <w:t>”</w:t>
      </w:r>
      <w:r w:rsidRPr="00545F1B">
        <w:rPr>
          <w:rFonts w:cstheme="minorHAnsi"/>
          <w:sz w:val="24"/>
          <w:szCs w:val="24"/>
        </w:rPr>
        <w:t xml:space="preserve">, </w:t>
      </w:r>
      <w:r w:rsidR="00AA6F34">
        <w:rPr>
          <w:rFonts w:cstheme="minorHAnsi"/>
          <w:sz w:val="24"/>
          <w:szCs w:val="24"/>
        </w:rPr>
        <w:t>będącego częścią</w:t>
      </w:r>
      <w:r w:rsidRPr="00545F1B">
        <w:rPr>
          <w:rFonts w:cstheme="minorHAnsi"/>
          <w:sz w:val="24"/>
          <w:szCs w:val="24"/>
        </w:rPr>
        <w:t xml:space="preserve"> projektu pn. „Utworzenie i wsparcie funkcjonowania Branżowego Centrum Umiejętności realizującego koncepcję centrum doskonałości zawodowej (</w:t>
      </w:r>
      <w:proofErr w:type="spellStart"/>
      <w:r w:rsidRPr="00545F1B">
        <w:rPr>
          <w:rFonts w:cstheme="minorHAnsi"/>
          <w:sz w:val="24"/>
          <w:szCs w:val="24"/>
        </w:rPr>
        <w:t>CoVEs</w:t>
      </w:r>
      <w:proofErr w:type="spellEnd"/>
      <w:r w:rsidRPr="00545F1B">
        <w:rPr>
          <w:rFonts w:cstheme="minorHAnsi"/>
          <w:sz w:val="24"/>
          <w:szCs w:val="24"/>
        </w:rPr>
        <w:t>) dla dziedziny górnictwo podziemne, przeróbka rud metali i surowców mineralnych”. Projekt objęty jest wsparciem ze środków Instrumentu na rzecz Odbudowy i Zwiększania Odporności, tj. Krajowego Planu Odbudowy i Zwiększania Odporności (KPO),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innych instytucji otoczenia gospodarczego oraz promocja szkolnictwa zawodowego. Zakres inwestycji: Utworzenie i wsparcie funkcjonowania 120 branżowych centrów umiejętności (BCU), realizujących koncepcje centrów doskonałości zawodowej (</w:t>
      </w:r>
      <w:proofErr w:type="spellStart"/>
      <w:r w:rsidRPr="00545F1B">
        <w:rPr>
          <w:rFonts w:cstheme="minorHAnsi"/>
          <w:sz w:val="24"/>
          <w:szCs w:val="24"/>
        </w:rPr>
        <w:t>CoVEs</w:t>
      </w:r>
      <w:proofErr w:type="spellEnd"/>
      <w:r w:rsidRPr="00545F1B">
        <w:rPr>
          <w:rFonts w:cstheme="minorHAnsi"/>
          <w:sz w:val="24"/>
          <w:szCs w:val="24"/>
        </w:rPr>
        <w:t>).</w:t>
      </w: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60"/>
        <w:gridCol w:w="6207"/>
      </w:tblGrid>
      <w:tr w:rsidR="00763981" w:rsidRPr="00545F1B" w14:paraId="4CCA8043" w14:textId="77777777" w:rsidTr="00695564">
        <w:trPr>
          <w:trHeight w:val="653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7ACAFF" w14:textId="411DB9FC" w:rsidR="00763981" w:rsidRPr="00545F1B" w:rsidRDefault="00763981" w:rsidP="007407D8">
            <w:pPr>
              <w:spacing w:after="0" w:line="36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Zapytanie o cenę w ramach rozeznania rynku z dnia </w:t>
            </w:r>
            <w:r w:rsidR="00ED1C7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29</w:t>
            </w:r>
            <w:r w:rsidR="00F12A73"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.04</w:t>
            </w:r>
            <w:r w:rsidR="009C4E3D"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.2024</w:t>
            </w:r>
            <w:r w:rsidRPr="00545F1B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 xml:space="preserve"> r.</w:t>
            </w:r>
          </w:p>
        </w:tc>
      </w:tr>
      <w:tr w:rsidR="00763981" w:rsidRPr="00545F1B" w14:paraId="747FAE40" w14:textId="77777777" w:rsidTr="00763981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76C33" w14:textId="77777777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Zamawiający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9C8C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Górnicza Izba Przemysłowo-Handlowa</w:t>
            </w:r>
          </w:p>
          <w:p w14:paraId="70F86D4A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ul. Kościuszki 30</w:t>
            </w:r>
          </w:p>
          <w:p w14:paraId="0585A633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40-048 Katowice</w:t>
            </w:r>
          </w:p>
          <w:p w14:paraId="73459ECF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Tel. </w:t>
            </w:r>
            <w:r w:rsidR="00D00B19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(0048) 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32 757 32 52</w:t>
            </w:r>
          </w:p>
          <w:p w14:paraId="4869EB4E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KRS: 0000095169</w:t>
            </w:r>
          </w:p>
          <w:p w14:paraId="2274EDE6" w14:textId="77777777" w:rsidR="00763981" w:rsidRPr="00545F1B" w:rsidRDefault="00763981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NIP: 634-10-12-786</w:t>
            </w:r>
          </w:p>
          <w:p w14:paraId="7AD74CDE" w14:textId="77777777" w:rsidR="00D00B19" w:rsidRPr="00545F1B" w:rsidRDefault="00D00B19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Adres strony internetowej: </w:t>
            </w:r>
            <w:hyperlink r:id="rId8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www.giph.com.pl</w:t>
              </w:r>
            </w:hyperlink>
          </w:p>
          <w:p w14:paraId="30ACE952" w14:textId="77777777" w:rsidR="00D00B19" w:rsidRPr="00545F1B" w:rsidRDefault="00D00B19" w:rsidP="00763981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  <w:proofErr w:type="spellStart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Adres</w:t>
            </w:r>
            <w:proofErr w:type="spellEnd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e-mail: </w:t>
            </w:r>
            <w:hyperlink r:id="rId9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</w:tr>
      <w:tr w:rsidR="00763981" w:rsidRPr="00545F1B" w14:paraId="47698F65" w14:textId="77777777" w:rsidTr="00763981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7AE" w14:textId="7A7D215F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Nazwa pr</w:t>
            </w:r>
            <w:r w:rsidR="00F12A73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ojektu, w ramach którego realizowane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12A73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jest zamówienie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C4B3C" w14:textId="7A1A1F6E" w:rsidR="009C4E3D" w:rsidRPr="00545F1B" w:rsidRDefault="009C4E3D" w:rsidP="00294FD9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Zamówienie realizowane jest w ramach </w:t>
            </w:r>
            <w:r w:rsidR="00AA6F34">
              <w:rPr>
                <w:rFonts w:cstheme="minorHAnsi"/>
                <w:sz w:val="24"/>
                <w:szCs w:val="24"/>
              </w:rPr>
              <w:t xml:space="preserve">zadania </w:t>
            </w:r>
            <w:r w:rsidR="00AA6F34" w:rsidRPr="00AA6F34">
              <w:rPr>
                <w:rFonts w:cstheme="minorHAnsi"/>
                <w:sz w:val="24"/>
                <w:szCs w:val="24"/>
              </w:rPr>
              <w:t>„Wyjazd studyjny nauczycieli i doradców zawodowych do zakładu pracy związanego z branżą górniczą na Górnym Śląsku”, będącego częścią projektu</w:t>
            </w:r>
            <w:r w:rsidRPr="00545F1B">
              <w:rPr>
                <w:rFonts w:cstheme="minorHAnsi"/>
                <w:sz w:val="24"/>
                <w:szCs w:val="24"/>
              </w:rPr>
              <w:t xml:space="preserve"> pn.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cstheme="minorHAnsi"/>
                <w:sz w:val="24"/>
                <w:szCs w:val="24"/>
              </w:rPr>
              <w:t>CoVEs</w:t>
            </w:r>
            <w:proofErr w:type="spellEnd"/>
            <w:r w:rsidRPr="00545F1B">
              <w:rPr>
                <w:rFonts w:cstheme="minorHAnsi"/>
                <w:sz w:val="24"/>
                <w:szCs w:val="24"/>
              </w:rPr>
              <w:t xml:space="preserve">) dla dziedziny górnictwo podziemne, przeróbka rud metali i surowców mineralnych”. Projekt objęty jest wsparciem ze środków Instrumentu na rzecz Odbudowy i Zwiększania Odporności, tj. Krajowego Planu Odbudowy i Zwiększania Odporności (KPO),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innych instytucji otoczenia gospodarczego oraz promocja szkolnictwa zawodowego. </w:t>
            </w:r>
            <w:r w:rsidRPr="00545F1B">
              <w:rPr>
                <w:rFonts w:cstheme="minorHAnsi"/>
                <w:sz w:val="24"/>
                <w:szCs w:val="24"/>
              </w:rPr>
              <w:lastRenderedPageBreak/>
              <w:t>Zakres inwestycji: Utworzenie i wsparcie funkcjonowania 120 branżowych centrów umiejętności (BCU), realizujących koncepcje centrów doskonałości zawodowej (</w:t>
            </w:r>
            <w:proofErr w:type="spellStart"/>
            <w:r w:rsidRPr="00545F1B">
              <w:rPr>
                <w:rFonts w:cstheme="minorHAnsi"/>
                <w:sz w:val="24"/>
                <w:szCs w:val="24"/>
              </w:rPr>
              <w:t>CoVEs</w:t>
            </w:r>
            <w:proofErr w:type="spellEnd"/>
            <w:r w:rsidRPr="00545F1B">
              <w:rPr>
                <w:rFonts w:cstheme="minorHAnsi"/>
                <w:sz w:val="24"/>
                <w:szCs w:val="24"/>
              </w:rPr>
              <w:t>).</w:t>
            </w:r>
          </w:p>
          <w:p w14:paraId="62649308" w14:textId="2AE6CADB" w:rsidR="00294FD9" w:rsidRPr="00545F1B" w:rsidRDefault="00294FD9" w:rsidP="00F12A73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Okres realizacji projektu: </w:t>
            </w:r>
            <w:r w:rsidR="00F12A73" w:rsidRPr="00545F1B">
              <w:rPr>
                <w:rFonts w:cstheme="minorHAnsi"/>
                <w:sz w:val="24"/>
                <w:szCs w:val="24"/>
              </w:rPr>
              <w:t>01.01.2023 r. – 30.09.2025 r.</w:t>
            </w:r>
          </w:p>
        </w:tc>
      </w:tr>
      <w:tr w:rsidR="00763981" w:rsidRPr="00545F1B" w14:paraId="6B167EBF" w14:textId="77777777" w:rsidTr="00763981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E857" w14:textId="77777777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Przedmiot zamówienia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AD428" w14:textId="41F4EECE" w:rsidR="009C4E3D" w:rsidRPr="00545F1B" w:rsidRDefault="00AA6F34" w:rsidP="009C4E3D">
            <w:pPr>
              <w:spacing w:after="0" w:line="360" w:lineRule="auto"/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Usługa wynajmu autokaru/</w:t>
            </w:r>
            <w:proofErr w:type="spellStart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busa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wraz </w:t>
            </w:r>
            <w:r w:rsidR="00A76356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z kierowcą do przewozu grupy maks.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  20 osób na trasie Lubin – Katowice – Lubin </w:t>
            </w:r>
            <w:r w:rsidR="00AF7897"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 xml:space="preserve">oraz przejazdów lokalnych na terenie Katowic </w:t>
            </w: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eastAsia="pl-PL"/>
              </w:rPr>
              <w:t>w dniu 23 maja 2024 roku</w:t>
            </w:r>
          </w:p>
          <w:p w14:paraId="283415CB" w14:textId="5EF11591" w:rsidR="00D5682A" w:rsidRPr="00545F1B" w:rsidRDefault="00AA6F34" w:rsidP="00AF789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57" w:hanging="357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liczba pasażerów</w:t>
            </w:r>
            <w:r w:rsidR="00514F62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D5682A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15-20 osób</w:t>
            </w:r>
          </w:p>
          <w:p w14:paraId="2B83A95B" w14:textId="5EBB627D" w:rsidR="009C4E3D" w:rsidRPr="00AA6F34" w:rsidRDefault="00D5682A" w:rsidP="00AF7897">
            <w:pPr>
              <w:pStyle w:val="Akapitzlist"/>
              <w:numPr>
                <w:ilvl w:val="0"/>
                <w:numId w:val="25"/>
              </w:numPr>
              <w:spacing w:after="0" w:line="360" w:lineRule="auto"/>
              <w:ind w:left="357" w:hanging="357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355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termin realizacji</w:t>
            </w: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:</w:t>
            </w:r>
            <w:r w:rsidR="00F12A73"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F12A73" w:rsidRPr="00545F1B">
              <w:rPr>
                <w:rFonts w:cstheme="minorHAnsi"/>
                <w:bCs/>
                <w:sz w:val="24"/>
                <w:szCs w:val="24"/>
              </w:rPr>
              <w:t>23 maja 2024 r.</w:t>
            </w:r>
          </w:p>
          <w:p w14:paraId="55BE329F" w14:textId="39E4DF48" w:rsidR="00AA6F34" w:rsidRDefault="00AA6F34" w:rsidP="00F12A73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D7355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czas trwania wyjazdu: </w:t>
            </w:r>
            <w:r w:rsidR="00D7355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ok. 14h (7:00 – 21:00)</w:t>
            </w:r>
          </w:p>
          <w:p w14:paraId="1C569D2F" w14:textId="0BDF2CA8" w:rsidR="00D7355A" w:rsidRDefault="00D7355A" w:rsidP="00D7355A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miejsce wyjazdu</w:t>
            </w:r>
            <w:r w:rsidR="00F240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 powrotu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: Lubin, ul. </w:t>
            </w:r>
            <w:r w:rsidRPr="00D7355A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Marii Skłodowskiej-Curie 172A</w:t>
            </w:r>
          </w:p>
          <w:p w14:paraId="061EEA7D" w14:textId="0D37BA88" w:rsidR="00514F62" w:rsidRPr="00F240B3" w:rsidRDefault="00D7355A" w:rsidP="00F240B3">
            <w:pPr>
              <w:pStyle w:val="Akapitzlist"/>
              <w:numPr>
                <w:ilvl w:val="0"/>
                <w:numId w:val="25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miejsce przyjazdu: Katowice, ul. Armii Krajowej 51, następnie przejazd na obiad do restauracji zlokalizowanej na terenie Katowic, </w:t>
            </w:r>
            <w:r w:rsidR="00F240B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 odległości 15 km od ul. Armii Krajowej 51</w:t>
            </w:r>
          </w:p>
        </w:tc>
      </w:tr>
      <w:tr w:rsidR="00763981" w:rsidRPr="00545F1B" w14:paraId="08891BF1" w14:textId="77777777" w:rsidTr="00763981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94E36" w14:textId="3321AACC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Obowiązki wykonawcy przy realizacji zamówienia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0A4BF3" w14:textId="77777777" w:rsidR="00763981" w:rsidRPr="00545F1B" w:rsidRDefault="00763981" w:rsidP="00EC6CBC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 jest zobowiązany do:</w:t>
            </w:r>
          </w:p>
          <w:p w14:paraId="0B00B0D4" w14:textId="1A8E7024" w:rsidR="00F12A73" w:rsidRPr="00545F1B" w:rsidRDefault="00F240B3" w:rsidP="00CC1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przewozu grupy ok. 20 osób na trasie Lubin – Katowice – Lubin oraz na terenie Katowic</w:t>
            </w:r>
          </w:p>
          <w:p w14:paraId="2122F547" w14:textId="1152C4BB" w:rsidR="00F240B3" w:rsidRDefault="00F240B3" w:rsidP="00CC1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podstawienia autokaru/</w:t>
            </w:r>
            <w:proofErr w:type="spellStart"/>
            <w:r>
              <w:rPr>
                <w:rFonts w:cstheme="minorHAnsi"/>
                <w:sz w:val="24"/>
                <w:szCs w:val="24"/>
              </w:rPr>
              <w:t>busa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na miejsce zbiórki na min. 30 minut przed planowanym wyjazdem </w:t>
            </w:r>
          </w:p>
          <w:p w14:paraId="6F8F7492" w14:textId="250A3494" w:rsidR="00F240B3" w:rsidRPr="00F240B3" w:rsidRDefault="00F240B3" w:rsidP="00AF789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zapewnienia środka</w:t>
            </w:r>
            <w:r w:rsidRPr="00F240B3">
              <w:rPr>
                <w:rFonts w:cstheme="minorHAnsi"/>
                <w:sz w:val="24"/>
                <w:szCs w:val="24"/>
              </w:rPr>
              <w:t xml:space="preserve"> transportu </w:t>
            </w:r>
            <w:r>
              <w:rPr>
                <w:rFonts w:cstheme="minorHAnsi"/>
                <w:sz w:val="24"/>
                <w:szCs w:val="24"/>
              </w:rPr>
              <w:t xml:space="preserve">nie starszego niż 5 lat, </w:t>
            </w:r>
            <w:r>
              <w:rPr>
                <w:rFonts w:cstheme="minorHAnsi"/>
                <w:sz w:val="24"/>
                <w:szCs w:val="24"/>
              </w:rPr>
              <w:lastRenderedPageBreak/>
              <w:t>dopuszczonego do ruchu, spełniającego</w:t>
            </w:r>
            <w:r w:rsidRPr="00F240B3">
              <w:rPr>
                <w:rFonts w:cstheme="minorHAnsi"/>
                <w:sz w:val="24"/>
                <w:szCs w:val="24"/>
              </w:rPr>
              <w:t xml:space="preserve"> wszystkie wymogi bezpieczeństwa kodeksu drogowego i ustawy o transporcie drogowym, z klimatyzacją, pasami bezpieczeństwa</w:t>
            </w:r>
            <w:r>
              <w:rPr>
                <w:rFonts w:cstheme="minorHAnsi"/>
                <w:sz w:val="24"/>
                <w:szCs w:val="24"/>
              </w:rPr>
              <w:t>, dostosowanego</w:t>
            </w:r>
            <w:r w:rsidRPr="00F240B3">
              <w:rPr>
                <w:rFonts w:cstheme="minorHAnsi"/>
                <w:sz w:val="24"/>
                <w:szCs w:val="24"/>
              </w:rPr>
              <w:t xml:space="preserve"> do osób jeżdżących na wózkach lub z inną n</w:t>
            </w:r>
            <w:r>
              <w:rPr>
                <w:rFonts w:cstheme="minorHAnsi"/>
                <w:sz w:val="24"/>
                <w:szCs w:val="24"/>
              </w:rPr>
              <w:t>iepełnosprawnością, ubezpieczonego</w:t>
            </w:r>
            <w:r w:rsidRPr="00F240B3">
              <w:rPr>
                <w:rFonts w:cstheme="minorHAnsi"/>
                <w:sz w:val="24"/>
                <w:szCs w:val="24"/>
              </w:rPr>
              <w:t xml:space="preserve"> w zakresie OC, AC oraz NNW pasażerów (nie mniej niż 50 000,00 zł na osobę), </w:t>
            </w:r>
          </w:p>
          <w:p w14:paraId="7F489A36" w14:textId="3B41F80D" w:rsidR="00FE7728" w:rsidRPr="00FE7728" w:rsidRDefault="00FE7728" w:rsidP="00AF789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zabezpieczenia</w:t>
            </w:r>
            <w:r w:rsidRPr="00FE7728">
              <w:rPr>
                <w:rFonts w:cstheme="minorHAnsi"/>
                <w:sz w:val="24"/>
                <w:szCs w:val="24"/>
              </w:rPr>
              <w:t xml:space="preserve"> transportu zastępczego spełniającego ww. wymagania stawiane dla transportu podstawowego, dostępnego na wypadek zdarzeń losowych lub awarii transportu podstawowego. Dostępność transportu zastępczego powinna zostać zapewnion</w:t>
            </w:r>
            <w:r>
              <w:rPr>
                <w:rFonts w:cstheme="minorHAnsi"/>
                <w:sz w:val="24"/>
                <w:szCs w:val="24"/>
              </w:rPr>
              <w:t>a w czasie nie przekraczającym 2</w:t>
            </w:r>
            <w:r w:rsidRPr="00FE7728">
              <w:rPr>
                <w:rFonts w:cstheme="minorHAnsi"/>
                <w:sz w:val="24"/>
                <w:szCs w:val="24"/>
              </w:rPr>
              <w:t>h. Wszystkie koszty związane z podstawieniem pojazdu zastępczego, koszty związane z usunięciem awarii, koszty powstałe w związku z transportem pojazdu do siedziby Wykonawcy oraz koszty uczestników wyjazdu i Zamawiającego powstałe na skutek awarii obciążają Wykonawcę</w:t>
            </w:r>
            <w:r>
              <w:rPr>
                <w:rFonts w:cstheme="minorHAnsi"/>
                <w:sz w:val="24"/>
                <w:szCs w:val="24"/>
              </w:rPr>
              <w:t>,</w:t>
            </w:r>
          </w:p>
          <w:p w14:paraId="5556FCAF" w14:textId="146D2C1C" w:rsidR="00FE7728" w:rsidRPr="00FE7728" w:rsidRDefault="00FE7728" w:rsidP="00AF789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zapewnienia</w:t>
            </w:r>
            <w:r w:rsidRPr="00FE7728">
              <w:rPr>
                <w:rFonts w:cstheme="minorHAnsi"/>
                <w:sz w:val="24"/>
                <w:szCs w:val="24"/>
              </w:rPr>
              <w:t xml:space="preserve"> ubezpieczenia kierowców, opłat parkingowych, drogowych i ewentualnych mandatów,</w:t>
            </w:r>
          </w:p>
          <w:p w14:paraId="2F51F2A8" w14:textId="6FCFEC37" w:rsidR="00F240B3" w:rsidRPr="00A1532C" w:rsidRDefault="00FE7728" w:rsidP="00AF7897">
            <w:pPr>
              <w:pStyle w:val="Akapitzlist"/>
              <w:numPr>
                <w:ilvl w:val="0"/>
                <w:numId w:val="27"/>
              </w:numPr>
              <w:spacing w:after="0" w:line="360" w:lineRule="auto"/>
              <w:ind w:left="714" w:hanging="357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zapewnienia obsługi autokaru/</w:t>
            </w:r>
            <w:proofErr w:type="spellStart"/>
            <w:r>
              <w:rPr>
                <w:rFonts w:cstheme="minorHAnsi"/>
                <w:sz w:val="24"/>
                <w:szCs w:val="24"/>
              </w:rPr>
              <w:t>busa</w:t>
            </w:r>
            <w:proofErr w:type="spellEnd"/>
            <w:r w:rsidRPr="00FE7728">
              <w:rPr>
                <w:rFonts w:cstheme="minorHAnsi"/>
                <w:sz w:val="24"/>
                <w:szCs w:val="24"/>
              </w:rPr>
              <w:t xml:space="preserve"> przez osoby o odpowiednich kwalifikacjach i odpowiednim stanie zdrowia, a w przypadku niedyspozycji kierowcy, do niezwłocznego zapewnienia zastępstwa, niezależnie od przyczyny niedyspozycji,</w:t>
            </w:r>
          </w:p>
          <w:p w14:paraId="2373DA2E" w14:textId="77777777" w:rsidR="00CC15BA" w:rsidRPr="00545F1B" w:rsidRDefault="00CC15BA" w:rsidP="00CC15BA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rzetelnego i terminowego wykonania usługi,</w:t>
            </w:r>
            <w:r w:rsidR="007415E2" w:rsidRPr="00545F1B">
              <w:rPr>
                <w:rFonts w:cstheme="minorHAnsi"/>
                <w:sz w:val="24"/>
                <w:szCs w:val="24"/>
              </w:rPr>
              <w:t xml:space="preserve"> zgodnie z treścią rozeznania rynku i złożonej oferty, postanowieniami umowy, a także zgodnie z powszechnie obowiązującymi przepisami prawa oraz w sposób uwzględniający prawne, organizacyjne i finansowe uwarunkowania Projektu finansowanego ze środków UE – w celu prawidłowej realizacji przedmiotu zamówienia w ramach Projektu</w:t>
            </w:r>
            <w:r w:rsidR="009B6947" w:rsidRPr="00545F1B">
              <w:rPr>
                <w:rFonts w:cstheme="minorHAnsi"/>
                <w:sz w:val="24"/>
                <w:szCs w:val="24"/>
              </w:rPr>
              <w:t>,</w:t>
            </w:r>
          </w:p>
          <w:p w14:paraId="62D7B6B5" w14:textId="1EA7B2E0" w:rsidR="00C07CFF" w:rsidRPr="00545F1B" w:rsidRDefault="008C5AC8" w:rsidP="00B87EB9">
            <w:pPr>
              <w:pStyle w:val="Akapitzlist"/>
              <w:numPr>
                <w:ilvl w:val="0"/>
                <w:numId w:val="27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kontaktu z przedstawicielem Zamawiającego, informowania o bieżących działaniach i ewentualnych utrudnieniach w realizacji przedmiotu zamówienia</w:t>
            </w:r>
            <w:r w:rsidR="00397E26" w:rsidRPr="00545F1B">
              <w:rPr>
                <w:rFonts w:cstheme="minorHAnsi"/>
                <w:sz w:val="24"/>
                <w:szCs w:val="24"/>
              </w:rPr>
              <w:t xml:space="preserve">. </w:t>
            </w:r>
          </w:p>
        </w:tc>
      </w:tr>
      <w:tr w:rsidR="00763981" w:rsidRPr="00545F1B" w14:paraId="5757398A" w14:textId="77777777" w:rsidTr="00763981">
        <w:trPr>
          <w:trHeight w:val="6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1AC65" w14:textId="052347CA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Wymagania wobec Wykonawcy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01FD" w14:textId="77777777" w:rsidR="00FE7728" w:rsidRDefault="00262A69" w:rsidP="00FE7728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 zamówienie mogą się starać Wykonawcy, którzy</w:t>
            </w:r>
            <w:r w:rsidR="00FE7728">
              <w:rPr>
                <w:rFonts w:cstheme="minorHAnsi"/>
                <w:sz w:val="24"/>
                <w:szCs w:val="24"/>
              </w:rPr>
              <w:t xml:space="preserve"> </w:t>
            </w:r>
            <w:r w:rsidR="00FE7728">
              <w:rPr>
                <w:sz w:val="24"/>
                <w:szCs w:val="24"/>
              </w:rPr>
              <w:t>posiadają</w:t>
            </w:r>
            <w:r w:rsidR="00FE7728" w:rsidRPr="00FE7728">
              <w:rPr>
                <w:sz w:val="24"/>
                <w:szCs w:val="24"/>
              </w:rPr>
              <w:t xml:space="preserve"> uprawnienia i zasoby niezbędne do niezakłóconej realizacji przedmiotu zamówienia, w szczególności niezbędne środki techniczno-organizacyjne, potencjał osobowy oraz ekonomiczno-finansowy. </w:t>
            </w:r>
          </w:p>
          <w:p w14:paraId="1C5B3B7F" w14:textId="181B5812" w:rsidR="00262A69" w:rsidRPr="00FE7728" w:rsidRDefault="00262A69" w:rsidP="00FE7728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FE7728">
              <w:rPr>
                <w:sz w:val="24"/>
                <w:szCs w:val="24"/>
              </w:rPr>
              <w:t>Oferent wraz z ofertą skła</w:t>
            </w:r>
            <w:r w:rsidR="00A76356">
              <w:rPr>
                <w:sz w:val="24"/>
                <w:szCs w:val="24"/>
              </w:rPr>
              <w:t>da oświadczenia co do spełnienia</w:t>
            </w:r>
            <w:r w:rsidRPr="00FE7728">
              <w:rPr>
                <w:sz w:val="24"/>
                <w:szCs w:val="24"/>
              </w:rPr>
              <w:t xml:space="preserve"> powyższych wymagań.</w:t>
            </w:r>
          </w:p>
          <w:p w14:paraId="730644FC" w14:textId="77777777" w:rsidR="00262A69" w:rsidRPr="00545F1B" w:rsidRDefault="00262A69" w:rsidP="00262A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 xml:space="preserve">W przypadku Wykonawców wspólnie ubiegających się o udzielenie zamówienia (konsorcja, s.c.), spełnianie warunków Wykonawcy wykazują z uwzględnieniem łącznego potencjału. </w:t>
            </w:r>
          </w:p>
          <w:p w14:paraId="52916D2F" w14:textId="77777777" w:rsidR="00262A69" w:rsidRPr="00545F1B" w:rsidRDefault="00262A69" w:rsidP="00262A69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 xml:space="preserve">W przypadku nie spełnienia warunków udziału w postępowaniu Wykonawca będzie podlegał wykluczeniu z postępowania, a jego oferta będzie traktowana jako odrzucona. </w:t>
            </w:r>
          </w:p>
          <w:p w14:paraId="6AF1BFC8" w14:textId="03BB0D03" w:rsidR="00763981" w:rsidRPr="00545F1B" w:rsidRDefault="00262A69" w:rsidP="00763981">
            <w:pPr>
              <w:pStyle w:val="Akapitzlist"/>
              <w:numPr>
                <w:ilvl w:val="0"/>
                <w:numId w:val="5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sz w:val="24"/>
                <w:szCs w:val="24"/>
              </w:rPr>
              <w:t xml:space="preserve">Zamawiający może na każdym etapie postępowania uznać, że Wykonawca nie posiada wymaganych zdolności, jeżeli zaangażowanie zasobów technicznych lub zawodowych Wykonawcy w inne przedsięwzięcia gospodarcze Wykonawcy może </w:t>
            </w:r>
            <w:r w:rsidRPr="00545F1B">
              <w:rPr>
                <w:rFonts w:cstheme="minorHAnsi"/>
                <w:sz w:val="24"/>
                <w:szCs w:val="24"/>
              </w:rPr>
              <w:t xml:space="preserve">mieć negatywny wpływ na realizację zamówienia. </w:t>
            </w:r>
          </w:p>
        </w:tc>
      </w:tr>
      <w:tr w:rsidR="00763981" w:rsidRPr="00545F1B" w14:paraId="57C94C07" w14:textId="77777777" w:rsidTr="00763981">
        <w:trPr>
          <w:trHeight w:val="9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53E6" w14:textId="77777777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Dane kontaktowe w przypadku dodatkowych pytań</w:t>
            </w:r>
          </w:p>
        </w:tc>
        <w:tc>
          <w:tcPr>
            <w:tcW w:w="6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868D" w14:textId="77777777" w:rsidR="00763981" w:rsidRPr="00545F1B" w:rsidRDefault="00763981" w:rsidP="00763981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Agata Zielińska</w:t>
            </w:r>
          </w:p>
          <w:p w14:paraId="58B8D3EB" w14:textId="77777777" w:rsidR="00763981" w:rsidRPr="00545F1B" w:rsidRDefault="00763981" w:rsidP="00763981">
            <w:pPr>
              <w:pStyle w:val="Akapitzlist"/>
              <w:numPr>
                <w:ilvl w:val="0"/>
                <w:numId w:val="2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Milenia Dębowska</w:t>
            </w:r>
          </w:p>
          <w:p w14:paraId="2BE993C5" w14:textId="537E9B97" w:rsidR="00E43199" w:rsidRPr="00545F1B" w:rsidRDefault="006533CE" w:rsidP="00E43199">
            <w:pPr>
              <w:spacing w:after="0" w:line="360" w:lineRule="auto"/>
              <w:ind w:left="45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  <w:proofErr w:type="spellStart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Numer</w:t>
            </w:r>
            <w:proofErr w:type="spellEnd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  <w:proofErr w:type="spellStart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kontaktowy</w:t>
            </w:r>
            <w:proofErr w:type="spellEnd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: (0048) </w:t>
            </w:r>
            <w:r w:rsidR="001131B6"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32 757 32 52</w:t>
            </w:r>
          </w:p>
          <w:p w14:paraId="3AD6A6C9" w14:textId="1262EB8A" w:rsidR="00E43199" w:rsidRPr="00545F1B" w:rsidRDefault="006533CE" w:rsidP="006533CE">
            <w:pPr>
              <w:spacing w:after="0" w:line="360" w:lineRule="auto"/>
              <w:ind w:left="45"/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</w:pPr>
            <w:proofErr w:type="spellStart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>Adres</w:t>
            </w:r>
            <w:proofErr w:type="spellEnd"/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e-mail: </w:t>
            </w:r>
            <w:hyperlink r:id="rId10" w:history="1">
              <w:r w:rsidR="00E71814"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val="en-GB" w:eastAsia="pl-PL"/>
                </w:rPr>
                <w:t>b</w:t>
              </w:r>
              <w:r w:rsidR="00E71814" w:rsidRPr="00545F1B">
                <w:rPr>
                  <w:rStyle w:val="Hipercze"/>
                  <w:lang w:val="en-GB"/>
                </w:rPr>
                <w:t>cu@giph.com.pl</w:t>
              </w:r>
            </w:hyperlink>
            <w:r w:rsidR="00E43199" w:rsidRPr="00545F1B">
              <w:rPr>
                <w:rFonts w:eastAsia="Times New Roman" w:cstheme="minorHAnsi"/>
                <w:color w:val="000000"/>
                <w:sz w:val="24"/>
                <w:szCs w:val="24"/>
                <w:lang w:val="en-GB" w:eastAsia="pl-PL"/>
              </w:rPr>
              <w:t xml:space="preserve"> </w:t>
            </w:r>
          </w:p>
        </w:tc>
      </w:tr>
      <w:tr w:rsidR="00C208E4" w:rsidRPr="00545F1B" w14:paraId="55BD64FE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68EAB" w14:textId="77777777" w:rsidR="00C208E4" w:rsidRPr="00545F1B" w:rsidRDefault="00C208E4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Podstawy wykluczenia z postępowania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31971" w14:textId="071CD68D" w:rsidR="00F31B5F" w:rsidRPr="00545F1B" w:rsidRDefault="00C208E4" w:rsidP="00C208E4">
            <w:pPr>
              <w:pStyle w:val="Akapitzlist"/>
              <w:spacing w:after="0" w:line="360" w:lineRule="auto"/>
              <w:ind w:left="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 udziału w rozeznaniu rynku wykluczone są</w:t>
            </w:r>
            <w:r w:rsidR="00F31B5F" w:rsidRPr="00545F1B">
              <w:rPr>
                <w:rFonts w:cstheme="minorHAnsi"/>
                <w:sz w:val="24"/>
                <w:szCs w:val="24"/>
              </w:rPr>
              <w:t xml:space="preserve"> podmioty:</w:t>
            </w:r>
          </w:p>
          <w:p w14:paraId="3F4C2610" w14:textId="785F9073" w:rsidR="00C208E4" w:rsidRPr="00545F1B" w:rsidRDefault="00C208E4" w:rsidP="00F31B5F">
            <w:pPr>
              <w:pStyle w:val="Akapitzlist"/>
              <w:numPr>
                <w:ilvl w:val="0"/>
                <w:numId w:val="43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powiązane osobowo i kapitałowo z Zamawiającym. </w:t>
            </w:r>
          </w:p>
          <w:p w14:paraId="675D1BE3" w14:textId="77777777" w:rsidR="00C208E4" w:rsidRPr="00545F1B" w:rsidRDefault="00C208E4" w:rsidP="00F31B5F">
            <w:pPr>
              <w:pStyle w:val="Akapitzlist"/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Przez powiązania kapitałowe lub osobowe rozumie się wzajemne powiązania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      </w:r>
          </w:p>
          <w:p w14:paraId="7A03B8C4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uczestniczeniu w spółce jako wspólnik spółki cywilnej lub spółki osobowej, </w:t>
            </w:r>
          </w:p>
          <w:p w14:paraId="7BD42738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posiadaniu co najmniej 10 % udziałów lub akcji, </w:t>
            </w:r>
          </w:p>
          <w:p w14:paraId="14F17E77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pełnieniu funkcji członka organu nadzorczego lub zarządzającego, prokurenta, pełnomocnika, </w:t>
            </w:r>
          </w:p>
          <w:p w14:paraId="0F8D5D19" w14:textId="77777777" w:rsidR="00C208E4" w:rsidRPr="00545F1B" w:rsidRDefault="00C208E4" w:rsidP="00F31B5F">
            <w:pPr>
              <w:pStyle w:val="Akapitzlist"/>
              <w:numPr>
                <w:ilvl w:val="0"/>
                <w:numId w:val="10"/>
              </w:numPr>
              <w:spacing w:after="0" w:line="360" w:lineRule="auto"/>
              <w:ind w:left="72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      </w:r>
          </w:p>
          <w:p w14:paraId="3295481D" w14:textId="05357295" w:rsidR="00F31B5F" w:rsidRPr="00545F1B" w:rsidRDefault="00F31B5F" w:rsidP="00F31B5F">
            <w:pPr>
              <w:pStyle w:val="Akapitzlist"/>
              <w:numPr>
                <w:ilvl w:val="0"/>
                <w:numId w:val="43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na podstawie przesłanek określonych w art. 108 ust. 1 lub art. 109 ust. 1 ustawy Prawo zamówień publicznych,</w:t>
            </w:r>
          </w:p>
          <w:p w14:paraId="07297508" w14:textId="75141B24" w:rsidR="00F31B5F" w:rsidRPr="00545F1B" w:rsidRDefault="00F31B5F" w:rsidP="00F31B5F">
            <w:pPr>
              <w:pStyle w:val="Akapitzlist"/>
              <w:numPr>
                <w:ilvl w:val="0"/>
                <w:numId w:val="43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na podstawie art. 7 ust. 1 ustawy z dnia 13 kwietnia 2022 r. o szczególnych rozwiązaniach w zakresie przeciwdziałania wspieraniu agresji na Ukrainę oraz służących ochronie bezpieczeństwa narodowego (Dz. U. z 2023 r. poz. 1497 ze zm.).</w:t>
            </w:r>
          </w:p>
          <w:p w14:paraId="3D392E98" w14:textId="77777777" w:rsidR="00C208E4" w:rsidRPr="00545F1B" w:rsidRDefault="00C208E4" w:rsidP="00C208E4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 xml:space="preserve">W celu wykazania, że nie podlega wykluczeniu z ww. przyczyn, Oferent zobowiązany jest do </w:t>
            </w:r>
            <w:r w:rsidRPr="00545F1B">
              <w:rPr>
                <w:rFonts w:cstheme="minorHAnsi"/>
                <w:b/>
                <w:sz w:val="24"/>
                <w:szCs w:val="24"/>
                <w:u w:val="single"/>
              </w:rPr>
              <w:t>złożenia  odpowiedniego oświadczenia.</w:t>
            </w:r>
          </w:p>
        </w:tc>
      </w:tr>
      <w:tr w:rsidR="00763981" w:rsidRPr="00545F1B" w14:paraId="7AB924C8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5411" w14:textId="5C7B73F8" w:rsidR="00763981" w:rsidRPr="00545F1B" w:rsidRDefault="00763981" w:rsidP="00480C10">
            <w:pPr>
              <w:pStyle w:val="Akapitzlist"/>
              <w:numPr>
                <w:ilvl w:val="0"/>
                <w:numId w:val="33"/>
              </w:num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Sposób złożenia oferty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EA50" w14:textId="450C796D" w:rsidR="00676317" w:rsidRPr="00545F1B" w:rsidRDefault="00763981" w:rsidP="00B96F86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Odpowiedź na niniejsze Rozeznanie rynku</w:t>
            </w:r>
            <w:r w:rsidR="00A40A79" w:rsidRPr="00545F1B">
              <w:rPr>
                <w:rFonts w:cstheme="minorHAnsi"/>
                <w:sz w:val="24"/>
                <w:szCs w:val="24"/>
              </w:rPr>
              <w:t>, składająca się z</w:t>
            </w:r>
            <w:r w:rsidR="00B96F86" w:rsidRPr="00545F1B">
              <w:rPr>
                <w:rFonts w:cstheme="minorHAnsi"/>
                <w:sz w:val="24"/>
                <w:szCs w:val="24"/>
              </w:rPr>
              <w:t xml:space="preserve"> </w:t>
            </w:r>
            <w:r w:rsidR="00A40A79" w:rsidRPr="00545F1B">
              <w:rPr>
                <w:rFonts w:cstheme="minorHAnsi"/>
                <w:b/>
                <w:sz w:val="24"/>
                <w:szCs w:val="24"/>
              </w:rPr>
              <w:t>oferty</w:t>
            </w:r>
            <w:r w:rsidR="00B96F86" w:rsidRPr="00545F1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480C10" w:rsidRPr="00545F1B">
              <w:rPr>
                <w:rFonts w:cstheme="minorHAnsi"/>
                <w:sz w:val="24"/>
                <w:szCs w:val="24"/>
              </w:rPr>
              <w:t xml:space="preserve">(wraz z oświadczeniem o spełnieniu wymagań, o których mowa w pkt 5 niniejszego Zapytania) </w:t>
            </w:r>
            <w:r w:rsidR="00B96F86" w:rsidRPr="00545F1B">
              <w:rPr>
                <w:rFonts w:cstheme="minorHAnsi"/>
                <w:b/>
                <w:sz w:val="24"/>
                <w:szCs w:val="24"/>
              </w:rPr>
              <w:t xml:space="preserve">oraz </w:t>
            </w:r>
            <w:r w:rsidR="00A40A79" w:rsidRPr="00545F1B">
              <w:rPr>
                <w:rFonts w:cstheme="minorHAnsi"/>
                <w:b/>
                <w:sz w:val="24"/>
                <w:szCs w:val="24"/>
              </w:rPr>
              <w:t>oświadczeń</w:t>
            </w:r>
            <w:r w:rsidR="00A40A79" w:rsidRPr="00545F1B">
              <w:rPr>
                <w:rFonts w:cstheme="minorHAnsi"/>
                <w:sz w:val="24"/>
                <w:szCs w:val="24"/>
              </w:rPr>
              <w:t xml:space="preserve"> o braku powiazań kapitałowych lub osobowych</w:t>
            </w:r>
            <w:r w:rsidR="00B96F86" w:rsidRPr="00545F1B">
              <w:rPr>
                <w:rFonts w:cstheme="minorHAnsi"/>
                <w:sz w:val="24"/>
                <w:szCs w:val="24"/>
              </w:rPr>
              <w:t xml:space="preserve">, </w:t>
            </w:r>
            <w:r w:rsidRPr="00545F1B">
              <w:rPr>
                <w:rFonts w:cstheme="minorHAnsi"/>
                <w:sz w:val="24"/>
                <w:szCs w:val="24"/>
              </w:rPr>
              <w:t xml:space="preserve">prosimy przesyłać do Zamawiającego </w:t>
            </w:r>
            <w:r w:rsidRPr="00545F1B">
              <w:rPr>
                <w:rFonts w:cstheme="minorHAnsi"/>
                <w:b/>
                <w:sz w:val="24"/>
                <w:szCs w:val="24"/>
              </w:rPr>
              <w:t>drogą elektroniczną na adres</w:t>
            </w:r>
            <w:r w:rsidR="00A76356">
              <w:rPr>
                <w:rFonts w:cstheme="minorHAnsi"/>
                <w:b/>
                <w:sz w:val="24"/>
                <w:szCs w:val="24"/>
              </w:rPr>
              <w:t>y</w:t>
            </w:r>
            <w:r w:rsidRPr="00545F1B">
              <w:rPr>
                <w:rFonts w:cstheme="minorHAnsi"/>
                <w:b/>
                <w:sz w:val="24"/>
                <w:szCs w:val="24"/>
              </w:rPr>
              <w:t xml:space="preserve">: </w:t>
            </w:r>
            <w:hyperlink r:id="rId11" w:history="1">
              <w:r w:rsidR="00A76356" w:rsidRPr="00831F25">
                <w:rPr>
                  <w:rStyle w:val="Hipercze"/>
                  <w:b/>
                  <w:sz w:val="24"/>
                  <w:szCs w:val="24"/>
                </w:rPr>
                <w:t>bcu@giph.com.pl</w:t>
              </w:r>
            </w:hyperlink>
            <w:r w:rsidR="00A76356">
              <w:rPr>
                <w:b/>
                <w:sz w:val="24"/>
                <w:szCs w:val="24"/>
                <w:u w:val="single"/>
              </w:rPr>
              <w:t xml:space="preserve"> </w:t>
            </w:r>
            <w:r w:rsidR="00A76356">
              <w:rPr>
                <w:rFonts w:cstheme="minorHAnsi"/>
                <w:b/>
                <w:sz w:val="24"/>
                <w:szCs w:val="24"/>
              </w:rPr>
              <w:t xml:space="preserve"> lub </w:t>
            </w:r>
            <w:hyperlink r:id="rId12" w:history="1">
              <w:r w:rsidR="00A76356" w:rsidRPr="00831F25">
                <w:rPr>
                  <w:rStyle w:val="Hipercze"/>
                  <w:rFonts w:cstheme="minorHAnsi"/>
                  <w:b/>
                  <w:sz w:val="24"/>
                  <w:szCs w:val="24"/>
                </w:rPr>
                <w:t>biuro@giph.com.pl</w:t>
              </w:r>
            </w:hyperlink>
            <w:r w:rsidR="00A7635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49B2EC9B" w14:textId="3AC775F1" w:rsidR="00676317" w:rsidRPr="00545F1B" w:rsidRDefault="00E4559B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 xml:space="preserve">Termin złożenia oferty: 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do dnia </w:t>
            </w:r>
            <w:r w:rsidR="00FE7728">
              <w:rPr>
                <w:rFonts w:cstheme="minorHAnsi"/>
                <w:b/>
                <w:sz w:val="28"/>
                <w:szCs w:val="28"/>
                <w:u w:val="single"/>
              </w:rPr>
              <w:t>07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FE7728">
              <w:rPr>
                <w:rFonts w:cstheme="minorHAnsi"/>
                <w:b/>
                <w:sz w:val="28"/>
                <w:szCs w:val="28"/>
                <w:u w:val="single"/>
              </w:rPr>
              <w:t>maja</w:t>
            </w:r>
            <w:r w:rsidR="00E71814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 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>202</w:t>
            </w:r>
            <w:r w:rsidR="00E71814" w:rsidRPr="00545F1B">
              <w:rPr>
                <w:rFonts w:cstheme="minorHAnsi"/>
                <w:b/>
                <w:sz w:val="28"/>
                <w:szCs w:val="28"/>
                <w:u w:val="single"/>
              </w:rPr>
              <w:t>4</w:t>
            </w:r>
            <w:r w:rsidR="00763981" w:rsidRPr="00545F1B">
              <w:rPr>
                <w:rFonts w:cstheme="minorHAnsi"/>
                <w:b/>
                <w:sz w:val="28"/>
                <w:szCs w:val="28"/>
                <w:u w:val="single"/>
              </w:rPr>
              <w:t xml:space="preserve"> r.</w:t>
            </w:r>
            <w:r w:rsidR="00C208E4" w:rsidRPr="00545F1B">
              <w:rPr>
                <w:rFonts w:cstheme="minorHAnsi"/>
                <w:b/>
                <w:sz w:val="28"/>
                <w:szCs w:val="28"/>
                <w:u w:val="single"/>
              </w:rPr>
              <w:t>,</w:t>
            </w:r>
            <w:r w:rsidR="00C208E4" w:rsidRPr="00545F1B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C208E4" w:rsidRPr="00545F1B">
              <w:rPr>
                <w:rFonts w:cstheme="minorHAnsi"/>
                <w:sz w:val="24"/>
                <w:szCs w:val="24"/>
              </w:rPr>
              <w:t>godz. 23:59.</w:t>
            </w:r>
          </w:p>
          <w:p w14:paraId="702BE593" w14:textId="77777777" w:rsidR="00B315F9" w:rsidRPr="00545F1B" w:rsidRDefault="004C6416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Oferta</w:t>
            </w:r>
            <w:r w:rsidR="00D93366" w:rsidRPr="00545F1B">
              <w:rPr>
                <w:rFonts w:cstheme="minorHAnsi"/>
                <w:sz w:val="24"/>
                <w:szCs w:val="24"/>
              </w:rPr>
              <w:t xml:space="preserve"> </w:t>
            </w:r>
            <w:r w:rsidRPr="00545F1B">
              <w:rPr>
                <w:rFonts w:cstheme="minorHAnsi"/>
                <w:sz w:val="24"/>
                <w:szCs w:val="24"/>
              </w:rPr>
              <w:t>powinna</w:t>
            </w:r>
            <w:r w:rsidR="00D93366" w:rsidRPr="00545F1B">
              <w:rPr>
                <w:rFonts w:cstheme="minorHAnsi"/>
                <w:sz w:val="24"/>
                <w:szCs w:val="24"/>
              </w:rPr>
              <w:t xml:space="preserve"> zawierać</w:t>
            </w:r>
            <w:r w:rsidR="00B315F9" w:rsidRPr="00545F1B">
              <w:rPr>
                <w:rFonts w:cstheme="minorHAnsi"/>
                <w:sz w:val="24"/>
                <w:szCs w:val="24"/>
              </w:rPr>
              <w:t>:</w:t>
            </w:r>
          </w:p>
          <w:p w14:paraId="5F132E7D" w14:textId="77777777" w:rsidR="00B315F9" w:rsidRPr="00545F1B" w:rsidRDefault="00D93366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datę jej sporządzenia</w:t>
            </w:r>
            <w:r w:rsidR="00B315F9" w:rsidRPr="00545F1B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7DEB5570" w14:textId="77777777" w:rsidR="00B315F9" w:rsidRPr="00545F1B" w:rsidRDefault="00B315F9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adres Oferenta, </w:t>
            </w:r>
          </w:p>
          <w:p w14:paraId="48399655" w14:textId="77777777" w:rsidR="00E562E6" w:rsidRPr="00545F1B" w:rsidRDefault="00B315F9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imię i nazwisko oraz dane kontaktowe, telefon i e-mail osoby wyznaczonej do kontaktów z Zamawiającym</w:t>
            </w:r>
            <w:r w:rsidR="00E562E6" w:rsidRPr="00545F1B">
              <w:rPr>
                <w:rFonts w:cstheme="minorHAnsi"/>
                <w:sz w:val="24"/>
                <w:szCs w:val="24"/>
              </w:rPr>
              <w:t>,</w:t>
            </w:r>
          </w:p>
          <w:p w14:paraId="64492367" w14:textId="77777777" w:rsidR="00B315F9" w:rsidRPr="00545F1B" w:rsidRDefault="00E562E6" w:rsidP="00B315F9">
            <w:pPr>
              <w:pStyle w:val="Akapitzlist"/>
              <w:numPr>
                <w:ilvl w:val="0"/>
                <w:numId w:val="30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cenę łączną oraz cenę jednostkową</w:t>
            </w:r>
            <w:r w:rsidR="00A41218" w:rsidRPr="00545F1B">
              <w:rPr>
                <w:rFonts w:cstheme="minorHAnsi"/>
                <w:sz w:val="24"/>
                <w:szCs w:val="24"/>
              </w:rPr>
              <w:t>.</w:t>
            </w:r>
          </w:p>
          <w:p w14:paraId="64E00F2A" w14:textId="77777777" w:rsidR="00676317" w:rsidRPr="00545F1B" w:rsidRDefault="00676317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Oferta oraz wszelkie załączniki muszą być podpisane przez osoby upoważnione do reprezentowania Wykonawcy. W przypadku, gdy oferta jest podpisana przez inną osobę niż przedstawiciel Wykonawcy, do oferty należy dołączyć oryginał lub poświadczoną kopię stosownego pełnomocnictwa wystawionego przez osoby do tego upoważnione. </w:t>
            </w:r>
          </w:p>
          <w:p w14:paraId="02B2BBEB" w14:textId="77777777" w:rsidR="00676317" w:rsidRPr="00545F1B" w:rsidRDefault="00676317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Wykonawca ponosi wszelkie koszty związane z przygotowaniem i złożeniem oferty. </w:t>
            </w:r>
          </w:p>
          <w:p w14:paraId="1DDFCAF0" w14:textId="77777777" w:rsidR="00676317" w:rsidRPr="00545F1B" w:rsidRDefault="00676317" w:rsidP="00676317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Osoba wskazana do realizacji nie będzie podlegała zmianom z wyjątkiem sytuacji losowych. W takim wypadku nowa wskazana do realizacji osoba będzie musiała spełniać wymagania niniejszego Zapytania i będzie podlegała zatwierdzeniu przez Zamawiającego. Zamawiający zastrzega możliwość sprawdzenia powyższych informacji. </w:t>
            </w:r>
          </w:p>
          <w:p w14:paraId="2D79253E" w14:textId="5D14A1DD" w:rsidR="00763981" w:rsidRPr="00545F1B" w:rsidRDefault="00763981" w:rsidP="00676317">
            <w:pPr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Zamawiający zastrzega sobie możliwość nie wybrania żadnej z propozycji cenowych, a ta</w:t>
            </w:r>
            <w:r w:rsidR="00B87EB9" w:rsidRPr="00545F1B">
              <w:rPr>
                <w:rFonts w:cstheme="minorHAnsi"/>
                <w:sz w:val="24"/>
                <w:szCs w:val="24"/>
              </w:rPr>
              <w:t>kże rozpisania nowego Rozeznania</w:t>
            </w:r>
            <w:r w:rsidRPr="00545F1B">
              <w:rPr>
                <w:rFonts w:cstheme="minorHAnsi"/>
                <w:sz w:val="24"/>
                <w:szCs w:val="24"/>
              </w:rPr>
              <w:t xml:space="preserve"> rynku, w przypadku braku złożenia wycen, konieczności jego modyfikacji lub uzupełnienia. </w:t>
            </w:r>
          </w:p>
          <w:p w14:paraId="1B969404" w14:textId="77777777" w:rsidR="00763981" w:rsidRPr="00545F1B" w:rsidRDefault="00763981" w:rsidP="00676317">
            <w:pPr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Zamawiający zastrzega sobie także prawo do odrzucenia założonych propozycji cenowych w przypadku nie spełnienia przez nie kryteriów zawartych w Rozeznaniu rynku, a także prawo żądania przedstawienia dodatkowych informacji lub dokumentów potwierdzających opisane wyżej wymagania dotyczące przedmiotowych usług.</w:t>
            </w:r>
          </w:p>
        </w:tc>
      </w:tr>
      <w:tr w:rsidR="003B7921" w:rsidRPr="00545F1B" w14:paraId="4620494D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509DD" w14:textId="77777777" w:rsidR="003B7921" w:rsidRPr="00545F1B" w:rsidRDefault="004B0F87" w:rsidP="00480C10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Kryteria oceny ofert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82AD8" w14:textId="77777777" w:rsidR="004B0F87" w:rsidRPr="00545F1B" w:rsidRDefault="004B0F87" w:rsidP="004B0F8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Zamawiający przy wyborze oferty zakłada przeprowadzenie dwuetapowej oceny: </w:t>
            </w:r>
          </w:p>
          <w:p w14:paraId="573065DA" w14:textId="77777777" w:rsidR="004B0F87" w:rsidRPr="00545F1B" w:rsidRDefault="004B0F87" w:rsidP="004B0F87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ETAP 1 – weryfikacja formalna pod kątem spełniania wymogów określonych w niniejszym zapytaniu ofertowym. Weryfikacji podlegać będą oferty złożone we wskazanym w zapytaniu terminie. Weryfikowana będzie kompletność oraz zgodność oferty ze wzorami określonymi w niniejszym zapytaniu. </w:t>
            </w:r>
          </w:p>
          <w:p w14:paraId="76C03DAD" w14:textId="77777777" w:rsidR="004B0F87" w:rsidRPr="00545F1B" w:rsidRDefault="004B0F87" w:rsidP="004B0F87">
            <w:pPr>
              <w:pStyle w:val="Akapitzlist"/>
              <w:spacing w:after="0" w:line="360" w:lineRule="auto"/>
              <w:ind w:left="360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Ocena formalna zostanie przeprowadzona w oparciu o złożone dokumenty i oświadczenia Oferenta. Spełnienia powyższych warunków oparta będzie o zasadę spełnia - nie spełnia (1-0) </w:t>
            </w:r>
          </w:p>
          <w:p w14:paraId="480AFBC0" w14:textId="77777777" w:rsidR="004B0F87" w:rsidRPr="00545F1B" w:rsidRDefault="004B0F87" w:rsidP="004B0F87">
            <w:pPr>
              <w:pStyle w:val="Akapitzlist"/>
              <w:numPr>
                <w:ilvl w:val="0"/>
                <w:numId w:val="31"/>
              </w:num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ETAP 2 – merytoryczna ocena ofert. Do etapu drugiego oceny zakwalifikowane zostaną oferty spełniające wymogi formalne. Wybrana zostanie oferta, która otrzyma największą liczbę punktów. Ocenie podlegać będzie zaoferowana kwota netto w PLN ogółem za realizację przedmiotu zamówienia. </w:t>
            </w:r>
          </w:p>
          <w:p w14:paraId="6868CFC9" w14:textId="77777777" w:rsidR="004B0F87" w:rsidRPr="00545F1B" w:rsidRDefault="004B0F87" w:rsidP="004B0F87">
            <w:pPr>
              <w:pStyle w:val="Akapitzlist"/>
              <w:spacing w:after="0" w:line="360" w:lineRule="auto"/>
              <w:ind w:left="357"/>
              <w:rPr>
                <w:rFonts w:cstheme="minorHAnsi"/>
                <w:b/>
                <w:sz w:val="24"/>
                <w:szCs w:val="24"/>
              </w:rPr>
            </w:pPr>
            <w:r w:rsidRPr="00545F1B">
              <w:rPr>
                <w:rFonts w:cstheme="minorHAnsi"/>
                <w:b/>
                <w:sz w:val="24"/>
                <w:szCs w:val="24"/>
              </w:rPr>
              <w:t>Kryterium: cena (netto) – 100 punktów</w:t>
            </w:r>
          </w:p>
          <w:p w14:paraId="17F84676" w14:textId="77777777" w:rsidR="004B0F87" w:rsidRPr="00545F1B" w:rsidRDefault="004B0F87" w:rsidP="004B0F87">
            <w:pPr>
              <w:pStyle w:val="Akapitzlist"/>
              <w:spacing w:after="0" w:line="360" w:lineRule="auto"/>
              <w:ind w:left="357"/>
              <w:rPr>
                <w:rFonts w:cstheme="minorHAnsi"/>
                <w:sz w:val="24"/>
                <w:szCs w:val="24"/>
              </w:rPr>
            </w:pPr>
          </w:p>
          <w:p w14:paraId="2AB3DAAF" w14:textId="77777777" w:rsidR="004B0F87" w:rsidRPr="00545F1B" w:rsidRDefault="004B0F87" w:rsidP="004B0F8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Zamawiający wybierze najkorzystniejszą ofertę, która spełniła wymogi formalne i która uzyska największą liczbę punktów, w oparciu o ustalone wyżej kryteria oraz nie przekracza kwoty, którą Zamawiający przeznaczył na realizację zamówienia. </w:t>
            </w:r>
          </w:p>
          <w:p w14:paraId="50D93FCB" w14:textId="77777777" w:rsidR="004B0F87" w:rsidRPr="00545F1B" w:rsidRDefault="004B0F87" w:rsidP="004B0F87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 xml:space="preserve">W przypadku, gdy więcej niż jeden Oferent otrzyma taką samą najwyższą liczbę punktów, zostaną oni wezwani przez Zamawiającego do złożenia oferty dodatkowej, co pozwoli na zachowanie zasady równego traktowania Oferentów i uczciwej konkurencji, a ponadto pozwoli na racjonalne i oszczędne gospodarowanie środkami. </w:t>
            </w:r>
          </w:p>
          <w:p w14:paraId="39712EE1" w14:textId="77777777" w:rsidR="003B7921" w:rsidRPr="00545F1B" w:rsidRDefault="004B0F87" w:rsidP="004B0F87">
            <w:pPr>
              <w:spacing w:after="0" w:line="360" w:lineRule="auto"/>
              <w:rPr>
                <w:rFonts w:cstheme="minorHAnsi"/>
                <w:b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Zamawiający przewiduje możliwość negocjacji drogą e-mailową po zakończeniu terminu składania ofert z Oferentem, którego oferta została wybrana jako najkorzystniejsza w zakresie ceny zamówienia, gdy cena przekroczy kwotę budżetową z tym zastrzeżeniem, że istnieje możliwość prowadzenia negocjacji w celu obniżenia ceny podanej przez Oferenta.</w:t>
            </w:r>
          </w:p>
        </w:tc>
      </w:tr>
      <w:tr w:rsidR="00763981" w:rsidRPr="00545F1B" w14:paraId="27917628" w14:textId="77777777" w:rsidTr="00763981">
        <w:trPr>
          <w:trHeight w:val="30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8E776" w14:textId="77777777" w:rsidR="00763981" w:rsidRPr="00545F1B" w:rsidRDefault="00763981" w:rsidP="00480C10">
            <w:pPr>
              <w:pStyle w:val="Akapitzlist"/>
              <w:numPr>
                <w:ilvl w:val="0"/>
                <w:numId w:val="8"/>
              </w:numPr>
              <w:spacing w:after="0" w:line="360" w:lineRule="auto"/>
              <w:ind w:left="36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Poufność danych</w:t>
            </w:r>
          </w:p>
        </w:tc>
        <w:tc>
          <w:tcPr>
            <w:tcW w:w="6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768F54" w14:textId="77777777" w:rsidR="00763981" w:rsidRPr="00545F1B" w:rsidRDefault="00763981" w:rsidP="00763981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cstheme="minorHAnsi"/>
                <w:sz w:val="24"/>
                <w:szCs w:val="24"/>
              </w:rPr>
              <w:t>Zapytujący oraz Oferenci zachowają poufność danych i informacji przekazywanych na etapie niniejszego zapytania oraz realizacji umowy. W przypadku gdy przekazywane dane lub informacje będą stanowiły tajemnice przedsiębiorstwa Oferenta, Oferent powinien wyraźnie zaznaczyć charakter i zakres tych danych i informacji.</w:t>
            </w:r>
          </w:p>
          <w:p w14:paraId="0415FFE9" w14:textId="77777777" w:rsidR="00381F6D" w:rsidRPr="00545F1B" w:rsidRDefault="00381F6D" w:rsidP="00381F6D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br/>
            </w:r>
          </w:p>
          <w:p w14:paraId="5B074CCF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Administrator danych osobowych</w:t>
            </w:r>
          </w:p>
          <w:p w14:paraId="421A7FC2" w14:textId="77777777" w:rsidR="00381F6D" w:rsidRPr="00545F1B" w:rsidRDefault="00381F6D" w:rsidP="00381F6D">
            <w:pPr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Administratorem Pani/Pana danych osobowych jest:</w:t>
            </w:r>
          </w:p>
          <w:p w14:paraId="0DA41829" w14:textId="77777777" w:rsidR="00381F6D" w:rsidRPr="00545F1B" w:rsidRDefault="00381F6D" w:rsidP="00381F6D">
            <w:pPr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Górnicza Izba Przemysłowo-Handlowa (GIPH/Izba) z siedzibą przy ul. Kościuszki 30, 40-048 Katowice, tel. 32 757 32 52, mail: </w:t>
            </w:r>
            <w:hyperlink r:id="rId13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      </w:r>
          </w:p>
          <w:p w14:paraId="6B3F98D6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Rodzaje przetwarzanych danych osobowych</w:t>
            </w:r>
          </w:p>
          <w:p w14:paraId="01D72F93" w14:textId="0A9B1D66" w:rsidR="00381F6D" w:rsidRPr="00545F1B" w:rsidRDefault="00381F6D" w:rsidP="00381F6D">
            <w:pPr>
              <w:pStyle w:val="Akapitzlist"/>
              <w:spacing w:after="0" w:line="360" w:lineRule="auto"/>
              <w:ind w:left="360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Administrator zbiera następujące dane osobowe wykonawców oraz oferentów: imię i nazwisko, numer ewidencyjny PESEL, NIP, miejsce pracy, seria i numer dowodu osobistego, nazwa wykonawcy, adres, REGON wykonawcy, adres e-mail, numer telefonu</w:t>
            </w:r>
            <w:r w:rsidR="00A76356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, nr rachunku bankowego</w:t>
            </w: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.</w:t>
            </w:r>
          </w:p>
          <w:p w14:paraId="3748C82F" w14:textId="77777777" w:rsidR="00381F6D" w:rsidRPr="00545F1B" w:rsidRDefault="00381F6D" w:rsidP="00381F6D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Dane pozyskiwane są bezpośrednio od osób, których dotyczą (lub zostały przekazane w ich imieniu), ze źródeł publicznie dostępnych albo od instytucji i podmiotów zaangażowanych w realizację projektu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 dla dziedziny górnictwo podziemne, przeróbki rud metali i surowców mineralnych”.</w:t>
            </w:r>
          </w:p>
          <w:p w14:paraId="7E348C3D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Cele przetwarzania</w:t>
            </w:r>
          </w:p>
          <w:p w14:paraId="40F4F6D9" w14:textId="77777777" w:rsidR="00381F6D" w:rsidRPr="00545F1B" w:rsidRDefault="00381F6D" w:rsidP="00381F6D">
            <w:pPr>
              <w:pStyle w:val="Akapitzlist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będą przetwarzane w następujących celach:</w:t>
            </w:r>
          </w:p>
          <w:p w14:paraId="10AEB1E2" w14:textId="427258DE" w:rsidR="00381F6D" w:rsidRPr="00545F1B" w:rsidRDefault="00381F6D" w:rsidP="00FE7728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przeprowadzenia postępowania polegającego na </w:t>
            </w:r>
            <w:r w:rsidR="00A76356">
              <w:rPr>
                <w:rFonts w:eastAsia="Times New Roman" w:cstheme="minorHAnsi"/>
                <w:sz w:val="24"/>
                <w:szCs w:val="24"/>
                <w:lang w:eastAsia="pl-PL"/>
              </w:rPr>
              <w:t>wyborze wykonawcy usługi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na potrzeby </w:t>
            </w:r>
            <w:r w:rsidR="00FE7728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realizacji zadania </w:t>
            </w:r>
            <w:r w:rsidR="00FE7728" w:rsidRPr="00FE7728">
              <w:rPr>
                <w:rFonts w:eastAsia="Times New Roman" w:cstheme="minorHAnsi"/>
                <w:sz w:val="24"/>
                <w:szCs w:val="24"/>
                <w:lang w:eastAsia="pl-PL"/>
              </w:rPr>
              <w:t>„Wyjazd studyjny nauczycieli i doradców zawodowych do zakładu pracy związanego z b</w:t>
            </w:r>
            <w:r w:rsidR="00FE7728">
              <w:rPr>
                <w:rFonts w:eastAsia="Times New Roman" w:cstheme="minorHAnsi"/>
                <w:sz w:val="24"/>
                <w:szCs w:val="24"/>
                <w:lang w:eastAsia="pl-PL"/>
              </w:rPr>
              <w:t>ranżą górniczą na Górnym Śląsku”, będącego częścią projektu pn.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 dla dziedziny górnictwo podziemne, przeróbki rud metali i surowców mineralnych”, w tym zebrania ofert i wył</w:t>
            </w:r>
            <w:r w:rsidR="00FE7728">
              <w:rPr>
                <w:rFonts w:eastAsia="Times New Roman" w:cstheme="minorHAnsi"/>
                <w:sz w:val="24"/>
                <w:szCs w:val="24"/>
                <w:lang w:eastAsia="pl-PL"/>
              </w:rPr>
              <w:t>onienia wykonawców;</w:t>
            </w:r>
          </w:p>
          <w:p w14:paraId="18EAF6C8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potwierdzenia </w:t>
            </w:r>
            <w:r w:rsidRPr="00545F1B">
              <w:rPr>
                <w:rFonts w:cstheme="minorHAnsi"/>
                <w:sz w:val="24"/>
                <w:szCs w:val="24"/>
              </w:rPr>
              <w:t>kwalifikowalności wydatków</w:t>
            </w: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;</w:t>
            </w:r>
          </w:p>
          <w:p w14:paraId="090A1BAB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sprawozdawczości oraz działań informacyjno-promocyjnych;</w:t>
            </w:r>
          </w:p>
          <w:p w14:paraId="63D42DC2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z w:val="24"/>
                <w:szCs w:val="24"/>
              </w:rPr>
              <w:t>monitoringu, ewaluacji, kontroli i audytu;</w:t>
            </w:r>
          </w:p>
          <w:p w14:paraId="5DEC65FC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archiwizacji;</w:t>
            </w:r>
          </w:p>
          <w:p w14:paraId="51114DB6" w14:textId="77777777" w:rsidR="00381F6D" w:rsidRPr="00545F1B" w:rsidRDefault="00381F6D" w:rsidP="00381F6D">
            <w:pPr>
              <w:pStyle w:val="Akapitzlist"/>
              <w:numPr>
                <w:ilvl w:val="0"/>
                <w:numId w:val="36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ustalenia, obrony i dochodzenia roszczeń.</w:t>
            </w:r>
          </w:p>
          <w:p w14:paraId="1FDF1ECE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Podstawa prawna i cele przetwarzania danych osobowych</w:t>
            </w:r>
          </w:p>
          <w:p w14:paraId="4DAD7696" w14:textId="77777777" w:rsidR="00381F6D" w:rsidRPr="00545F1B" w:rsidRDefault="00381F6D" w:rsidP="00381F6D">
            <w:pPr>
              <w:pStyle w:val="Akapitzlist"/>
              <w:spacing w:after="0" w:line="360" w:lineRule="auto"/>
              <w:ind w:left="360"/>
              <w:contextualSpacing w:val="0"/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przetwarzane będą na podstawie:</w:t>
            </w:r>
          </w:p>
          <w:p w14:paraId="12AB49B6" w14:textId="77777777" w:rsidR="00381F6D" w:rsidRPr="00545F1B" w:rsidRDefault="00381F6D" w:rsidP="00381F6D">
            <w:pPr>
              <w:pStyle w:val="Akapitzlist"/>
              <w:numPr>
                <w:ilvl w:val="0"/>
                <w:numId w:val="41"/>
              </w:numPr>
              <w:spacing w:after="0" w:line="360" w:lineRule="auto"/>
              <w:ind w:left="709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zakresie wskazanym w ust. 1 pkt 1) – art. 6 ust. 1 lit. c RODO w celu związanym z postępowaniem o udzielenie zamówienia prowadzonym w trybie zasady rozeznania rynku określonej w Wytycznych dotyczących kwalifikowalności wydatków na lata 2021-2027;</w:t>
            </w:r>
          </w:p>
          <w:p w14:paraId="50379033" w14:textId="77777777" w:rsidR="00381F6D" w:rsidRPr="00545F1B" w:rsidRDefault="00381F6D" w:rsidP="00381F6D">
            <w:pPr>
              <w:pStyle w:val="Akapitzlist"/>
              <w:numPr>
                <w:ilvl w:val="0"/>
                <w:numId w:val="41"/>
              </w:numPr>
              <w:spacing w:after="0" w:line="360" w:lineRule="auto"/>
              <w:ind w:left="709" w:hanging="28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zakresie wskazanym w ust. 1 pkt 2), 3) i 4) – art. 6 ust. 1 lit. c) oraz art. 9 ust. 2 lit g) RODO – dane osobowe są niezbędne dla prawidłowej realizacji projektu „Utworzenie i wsparcia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)” (numer umowy KPO/22/1/BCU/U/44), realizowanego w ramach Krajowego Planu Odbudowy i Zwiększania Odporności; Inwestycja: A3.1.1. Wsparcie rozwoju nowoczesnego kształcenia zawodowego, szkolnictwa wyższego oraz uczenia się przez całe życie; Cel szczegółowy inwestycji: Zapewnienie przestrzeni dla skutecznej współpracy szkół, w tym zawodowych, uczelni, pracodawców, ośrodków badawczo-rozwojowych i innych instytucji otoczenia gospodarczego oraz promocja szkolnictwa zawodowego; Zakres inwestycji: Utworzenie i wsparcie funkcjonowania 120 branżowych centrów umiejętności (BCU), realizujących koncepcje centrów doskonałości zawodowej (</w:t>
            </w:r>
            <w:proofErr w:type="spellStart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) – które będą przetwarzane w związku z wykonywaniem niniejszego zamówienia.</w:t>
            </w:r>
          </w:p>
          <w:p w14:paraId="7EA3E07F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Odbiorcy danych osobowych</w:t>
            </w:r>
          </w:p>
          <w:p w14:paraId="6FE85E85" w14:textId="77777777" w:rsidR="00381F6D" w:rsidRPr="00545F1B" w:rsidRDefault="00381F6D" w:rsidP="00381F6D">
            <w:pPr>
              <w:pStyle w:val="Akapitzlist"/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przetwarzaniem danych w celu wskazanym powyżej Pana/i dane osobowe mogą zostać przekazane następującym odbiorcom danych:</w:t>
            </w:r>
          </w:p>
          <w:p w14:paraId="407F1438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pracownikom i współpracownikom Administratora,</w:t>
            </w:r>
          </w:p>
          <w:p w14:paraId="66378494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podmiotom zajmującym się obsługą IT, prawną i księgową Administratora,</w:t>
            </w:r>
          </w:p>
          <w:p w14:paraId="7AE6129B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Liderowi projektu „Utworzenie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CoVEs</w:t>
            </w:r>
            <w:proofErr w:type="spellEnd"/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) dla dziedziny górnictwo podziemne, przeróbki rud metali i surowców mineralnych”,</w:t>
            </w:r>
          </w:p>
          <w:p w14:paraId="6764B346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Instytucji Koordynującej, tj. Ministerstwu Funduszy i Polityki Regionalnej, ul. Wspólna 2/4, 00-926 Warszawa, tel.: 22 250 01 30, e-mail: IOD@mfipr.gov.pl;</w:t>
            </w:r>
          </w:p>
          <w:p w14:paraId="1D3E8516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Instytucji Odpowiedzialnej, tj. Ministerstwu Edukacji Narodowej, Al. J.Ch. Szucha 25, 00-918 Warszawa, tel.: +48 222 500 120, e-mail: kancelaria@men.gov.pl;</w:t>
            </w:r>
          </w:p>
          <w:p w14:paraId="02844BC0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Jednostce Wspierającej, tj. Fundacji Rozwoju Systemu Edukacji z siedzibą w Warszawie, Al. Jerozolimskie 142A, 02-305 Warszawa, wpisanej do rejestru stowarzyszeń, innych organizacji społecznych i zawodowych, fundacji oraz samodzielnych publicznych zakładów opieki zdrowotnej Krajowego Rejestru Sądowego prowadzonego przez Sąd Rejonowy dla m.st. Warszawy w Warszawie, XII Wydział Gospodarczy Krajowego Rejestru Sądowego pod numerem KRS 0000024777, NIP: 526-10-00-645, REGON: 010393032, tel.: +48 22 463 11 01, e-mail: iod@frse.org.pl,</w:t>
            </w:r>
          </w:p>
          <w:p w14:paraId="285AC56A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podmiotom sprawującym funkcje kontroli i nadzoru nad realizacją zadań Administratora w projekcie „</w:t>
            </w:r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Utworzenie i wsparcie funkcjonowania Branżowego Centrum Umiejętności realizującego koncepcję centrum doskonałości zawodowej (</w:t>
            </w:r>
            <w:proofErr w:type="spellStart"/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CoVEs</w:t>
            </w:r>
            <w:proofErr w:type="spellEnd"/>
            <w:r w:rsidRPr="00545F1B">
              <w:rPr>
                <w:rFonts w:eastAsia="Times New Roman" w:cstheme="minorHAnsi"/>
                <w:bCs/>
                <w:sz w:val="24"/>
                <w:szCs w:val="24"/>
                <w:lang w:eastAsia="pl-PL"/>
              </w:rPr>
              <w:t>) dla dziedziny górnictwo podziemne, przeróbki rud metali i surowców mineralnych”</w:t>
            </w: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,</w:t>
            </w:r>
          </w:p>
          <w:p w14:paraId="3D5443FC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>innym podmiotom przetwarzającym dane osobowe na podstawie upoważnienia lub w celu wykonania na zlecenie Administratora czynności związanych z realizacją celów przetwarzania,</w:t>
            </w:r>
          </w:p>
          <w:p w14:paraId="64C0E82C" w14:textId="77777777" w:rsidR="00381F6D" w:rsidRPr="00545F1B" w:rsidRDefault="00381F6D" w:rsidP="00381F6D">
            <w:pPr>
              <w:pStyle w:val="Akapitzlist"/>
              <w:numPr>
                <w:ilvl w:val="0"/>
                <w:numId w:val="37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cstheme="minorHAnsi"/>
                <w:spacing w:val="5"/>
                <w:sz w:val="24"/>
                <w:szCs w:val="24"/>
                <w:shd w:val="clear" w:color="auto" w:fill="FFFFFF"/>
              </w:rPr>
              <w:t xml:space="preserve">instytucjom i organom upoważnionym z mocy prawa. </w:t>
            </w:r>
          </w:p>
          <w:p w14:paraId="5797C0B7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Okres przetwarzania danych osobowych</w:t>
            </w:r>
          </w:p>
          <w:p w14:paraId="73C9196C" w14:textId="77777777" w:rsidR="00381F6D" w:rsidRPr="00545F1B" w:rsidRDefault="00381F6D" w:rsidP="00381F6D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osobowe będą przechowywane przez okres 10 lat, jeżeli wsparcie otrzymane na w ramach zamówienia stanowi pomoc publiczną, a w innych przypadkach przez okres 5 lat od ostatniej płatności salda. W przypadku zmiany obowiązkowego okresu przechowywania dokumentacji, Zamawiający powiadomi Wykonawcę o zmianie tego okresu, chyba że zmiana wynika z powszechnie obowiązujących przepisów prawa.</w:t>
            </w:r>
          </w:p>
          <w:p w14:paraId="04E1487D" w14:textId="77777777" w:rsidR="00381F6D" w:rsidRPr="00545F1B" w:rsidRDefault="00381F6D" w:rsidP="00381F6D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Okres przechowywania danych może zostać każdorazowo przedłużony o okres </w:t>
            </w:r>
            <w:r w:rsidRPr="00545F1B">
              <w:rPr>
                <w:rFonts w:cstheme="minorHAnsi"/>
                <w:sz w:val="24"/>
                <w:szCs w:val="24"/>
              </w:rPr>
              <w:t xml:space="preserve">przedawnienia roszczeń, jeżeli przetwarzanie danych będzie niezbędne do dochodzenia roszczeń lub do obrony przed takimi roszczeniami przez Organizatora. </w:t>
            </w:r>
          </w:p>
          <w:p w14:paraId="51A68773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Przekazanie danych osobowych do państw trzecich lub organizacji międzynarodowych</w:t>
            </w:r>
          </w:p>
          <w:p w14:paraId="7CA72EC6" w14:textId="77777777" w:rsidR="00381F6D" w:rsidRPr="00545F1B" w:rsidRDefault="00381F6D" w:rsidP="00381F6D">
            <w:pPr>
              <w:pStyle w:val="Akapitzlist"/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Pana/i dane nie będą przekazywane do państw/organizacji międzynarodowych poza Europejski Obszar Gospodarczy.</w:t>
            </w:r>
          </w:p>
          <w:p w14:paraId="34BA66A1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Przetwarzanie danych osobowych automatyczne </w:t>
            </w:r>
          </w:p>
          <w:p w14:paraId="6DFFFC56" w14:textId="77777777" w:rsidR="00381F6D" w:rsidRPr="00545F1B" w:rsidRDefault="00381F6D" w:rsidP="00381F6D">
            <w:pPr>
              <w:shd w:val="clear" w:color="auto" w:fill="FFFFFF"/>
              <w:spacing w:after="0" w:line="360" w:lineRule="auto"/>
              <w:ind w:left="360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      </w:r>
          </w:p>
          <w:p w14:paraId="108064E2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Prawa osób, których dane dotyczą</w:t>
            </w:r>
          </w:p>
          <w:p w14:paraId="28AAEC79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przetwarzaniem Pana/i danych osobowych, przysługuje Panu/i:</w:t>
            </w:r>
          </w:p>
          <w:p w14:paraId="403EA48A" w14:textId="77777777" w:rsidR="00381F6D" w:rsidRPr="00545F1B" w:rsidRDefault="00381F6D" w:rsidP="00381F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dostępu do treści danych, na podstawie art. 15 RODO;</w:t>
            </w:r>
          </w:p>
          <w:p w14:paraId="3E3B2005" w14:textId="77777777" w:rsidR="00381F6D" w:rsidRPr="00545F1B" w:rsidRDefault="00381F6D" w:rsidP="00381F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 sprostowania danych, na podstawie art. 16 RODO;</w:t>
            </w:r>
          </w:p>
          <w:p w14:paraId="7D482A24" w14:textId="77777777" w:rsidR="00381F6D" w:rsidRPr="00545F1B" w:rsidRDefault="00381F6D" w:rsidP="00381F6D">
            <w:pPr>
              <w:pStyle w:val="Akapitzlist"/>
              <w:numPr>
                <w:ilvl w:val="0"/>
                <w:numId w:val="39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do ograniczenia przetwarzania danych, na podstawie art. 18 RODO.</w:t>
            </w:r>
          </w:p>
          <w:p w14:paraId="5485AE79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przypadku, gdy przetwarzanie danych osobowych odbywa się na podstawie Pana/i zgody (art. 6 ust. 1 lit. a Rozporządzenia), przysługuje Panu/Pani prawo do:</w:t>
            </w:r>
          </w:p>
          <w:p w14:paraId="27833A7D" w14:textId="77777777" w:rsidR="00381F6D" w:rsidRPr="00545F1B" w:rsidRDefault="00381F6D" w:rsidP="00381F6D">
            <w:pPr>
              <w:numPr>
                <w:ilvl w:val="0"/>
                <w:numId w:val="40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wniesienia sprzeciwu wobec przetwarzania danych osobowych;</w:t>
            </w:r>
          </w:p>
          <w:p w14:paraId="7067A1C7" w14:textId="77777777" w:rsidR="00381F6D" w:rsidRPr="00545F1B" w:rsidRDefault="00381F6D" w:rsidP="00381F6D">
            <w:pPr>
              <w:numPr>
                <w:ilvl w:val="0"/>
                <w:numId w:val="40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      </w:r>
            <w:hyperlink r:id="rId14" w:tgtFrame="_blank" w:history="1">
              <w:r w:rsidRPr="00545F1B">
                <w:rPr>
                  <w:rFonts w:eastAsia="Times New Roman" w:cstheme="minorHAnsi"/>
                  <w:sz w:val="24"/>
                  <w:szCs w:val="24"/>
                  <w:u w:val="single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52B63D5D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Nie przysługuje Pani/Panu:</w:t>
            </w:r>
          </w:p>
          <w:p w14:paraId="345CEC2E" w14:textId="77777777" w:rsidR="00381F6D" w:rsidRPr="00545F1B" w:rsidRDefault="00381F6D" w:rsidP="00381F6D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w związku z art. 17 ust. 3 lit. b, d lub e RODO prawo do usunięcia danych osobowych;</w:t>
            </w:r>
          </w:p>
          <w:p w14:paraId="6BDD80EB" w14:textId="77777777" w:rsidR="00381F6D" w:rsidRPr="00545F1B" w:rsidRDefault="00381F6D" w:rsidP="00381F6D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prawo do przenoszenia danych osobowych, o którym mowa w art. 20 RODO;</w:t>
            </w:r>
          </w:p>
          <w:p w14:paraId="2BA799E7" w14:textId="77777777" w:rsidR="00381F6D" w:rsidRPr="00545F1B" w:rsidRDefault="00381F6D" w:rsidP="00381F6D">
            <w:pPr>
              <w:pStyle w:val="Akapitzlist"/>
              <w:numPr>
                <w:ilvl w:val="0"/>
                <w:numId w:val="42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na podstawie art. 21 RODO prawo sprzeciwu, wobec przetwarzania danych osobowych, gdyż podstawą prawną przetwarzania Pani/Pana danych osobowych jest art. 6 ust. 1 lit. c RODO.</w:t>
            </w:r>
          </w:p>
          <w:p w14:paraId="57C8075C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Przysługuje Panu/i prawo wniesienia skargi do Prezesa Urzędu Ochrony Danych Osobowych, gdy uzna Pan/i, iż przetwarzanie danych osobowych Pana/i dotyczących narusza przepisy RODO.</w:t>
            </w:r>
          </w:p>
          <w:p w14:paraId="2FCF4976" w14:textId="77777777" w:rsidR="00381F6D" w:rsidRPr="00545F1B" w:rsidRDefault="00381F6D" w:rsidP="00381F6D">
            <w:pPr>
              <w:pStyle w:val="Akapitzlist"/>
              <w:numPr>
                <w:ilvl w:val="0"/>
                <w:numId w:val="38"/>
              </w:numPr>
              <w:shd w:val="clear" w:color="auto" w:fill="FFFFFF"/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Może Pani/Pan skontaktować się z Administratorem wysyłając wiadomość na adres poczty elektronicznej: </w:t>
            </w:r>
            <w:hyperlink r:id="rId15" w:history="1">
              <w:r w:rsidRPr="00545F1B">
                <w:rPr>
                  <w:rStyle w:val="Hipercze"/>
                  <w:rFonts w:eastAsia="Times New Roman" w:cstheme="minorHAnsi"/>
                  <w:sz w:val="24"/>
                  <w:szCs w:val="24"/>
                  <w:lang w:eastAsia="pl-PL"/>
                </w:rPr>
                <w:t>biuro@giph.com.pl</w:t>
              </w:r>
            </w:hyperlink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.</w:t>
            </w:r>
          </w:p>
          <w:p w14:paraId="3E420311" w14:textId="77777777" w:rsidR="00381F6D" w:rsidRPr="00545F1B" w:rsidRDefault="00381F6D" w:rsidP="00381F6D">
            <w:pPr>
              <w:pStyle w:val="Akapitzlist"/>
              <w:numPr>
                <w:ilvl w:val="0"/>
                <w:numId w:val="35"/>
              </w:num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Informacja o wymogu/dobrowolności podania danych osobowych</w:t>
            </w:r>
          </w:p>
          <w:p w14:paraId="6DC4878F" w14:textId="057C7CCB" w:rsidR="00381F6D" w:rsidRPr="00545F1B" w:rsidRDefault="00381F6D" w:rsidP="00381F6D">
            <w:pPr>
              <w:spacing w:after="0" w:line="360" w:lineRule="auto"/>
              <w:rPr>
                <w:rFonts w:cstheme="minorHAnsi"/>
                <w:sz w:val="24"/>
                <w:szCs w:val="24"/>
              </w:rPr>
            </w:pPr>
            <w:r w:rsidRPr="00545F1B">
              <w:rPr>
                <w:rFonts w:eastAsia="Times New Roman" w:cstheme="minorHAnsi"/>
                <w:sz w:val="24"/>
                <w:szCs w:val="24"/>
                <w:lang w:eastAsia="pl-PL"/>
              </w:rPr>
              <w:t>Podanie danych w ramach przedstawianej oferty jest dobrowolne, jednak konieczne w zakresie, w jakim dane te są przetwarzane w celu przeprowadzenia badania rynku. Odmowa podania danych uniemożliwia wzięcia udziału przez Pani/na ofertę w postępowaniu.</w:t>
            </w:r>
          </w:p>
        </w:tc>
      </w:tr>
    </w:tbl>
    <w:p w14:paraId="4E14C922" w14:textId="70DCBE25" w:rsidR="00381F6D" w:rsidRPr="00763981" w:rsidRDefault="00B72BE9" w:rsidP="00381F6D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  <w:r w:rsidRPr="00545F1B">
        <w:rPr>
          <w:rFonts w:cstheme="minorHAnsi"/>
          <w:sz w:val="24"/>
          <w:szCs w:val="24"/>
        </w:rPr>
        <w:t xml:space="preserve"> </w:t>
      </w:r>
      <w:r w:rsidR="00381F6D" w:rsidRPr="00545F1B">
        <w:rPr>
          <w:rFonts w:cstheme="minorHAnsi"/>
          <w:sz w:val="24"/>
          <w:szCs w:val="24"/>
        </w:rPr>
        <w:t>Uwaga: Niniejsze rozeznanie rynku nie stanowi oferty w rozumieniu art. 66 ustawy z dnia 23 kwietnia 1964 r. – Kodeks cywilny (Dz. U. z 2023 r.  poz. 1610 ze zm.), jak również nie jest ogłoszeniem w rozumieniu ustawy z dnia 11 września 2019 r. – Prawo zamówień publicznych (Dz. U. z 2023 r. poz. 1605 ze zm.).</w:t>
      </w:r>
      <w:r w:rsidR="00381F6D" w:rsidRPr="00485FB6">
        <w:rPr>
          <w:rFonts w:cstheme="minorHAnsi"/>
          <w:sz w:val="24"/>
          <w:szCs w:val="24"/>
        </w:rPr>
        <w:t xml:space="preserve"> </w:t>
      </w:r>
    </w:p>
    <w:p w14:paraId="408CE81C" w14:textId="4A9F21DF" w:rsidR="00B72BE9" w:rsidRPr="00763981" w:rsidRDefault="00B72BE9" w:rsidP="00263623">
      <w:pPr>
        <w:pStyle w:val="Akapitzlist"/>
        <w:spacing w:after="0" w:line="360" w:lineRule="auto"/>
        <w:ind w:left="0"/>
        <w:rPr>
          <w:rFonts w:cstheme="minorHAnsi"/>
          <w:sz w:val="24"/>
          <w:szCs w:val="24"/>
        </w:rPr>
      </w:pPr>
    </w:p>
    <w:sectPr w:rsidR="00B72BE9" w:rsidRPr="00763981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8A1FC" w14:textId="77777777" w:rsidR="00BD666A" w:rsidRDefault="00BD666A">
      <w:pPr>
        <w:spacing w:after="0" w:line="240" w:lineRule="auto"/>
      </w:pPr>
      <w:r>
        <w:separator/>
      </w:r>
    </w:p>
  </w:endnote>
  <w:endnote w:type="continuationSeparator" w:id="0">
    <w:p w14:paraId="4DE98AD3" w14:textId="77777777" w:rsidR="00BD666A" w:rsidRDefault="00BD6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2C454" w14:textId="77777777" w:rsidR="009C4E3D" w:rsidRPr="0016219F" w:rsidRDefault="009C4E3D" w:rsidP="009C4E3D">
    <w:pPr>
      <w:jc w:val="both"/>
      <w:rPr>
        <w:sz w:val="18"/>
        <w:szCs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02D70F3" wp14:editId="7A530C51">
              <wp:simplePos x="0" y="0"/>
              <wp:positionH relativeFrom="margin">
                <wp:align>right</wp:align>
              </wp:positionH>
              <wp:positionV relativeFrom="paragraph">
                <wp:posOffset>206375</wp:posOffset>
              </wp:positionV>
              <wp:extent cx="5852160" cy="11430"/>
              <wp:effectExtent l="0" t="19050" r="53340" b="45720"/>
              <wp:wrapNone/>
              <wp:docPr id="1587520676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00B05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7322447" id="Łącznik prostoliniowy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9.6pt,16.25pt" to="870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" strokecolor="#00b050" strokeweight="4pt">
              <v:stroke linestyle="thinThin"/>
              <w10:wrap anchorx="margin"/>
            </v:line>
          </w:pict>
        </mc:Fallback>
      </mc:AlternateContent>
    </w:r>
  </w:p>
  <w:tbl>
    <w:tblPr>
      <w:tblStyle w:val="Tabela-Siatka"/>
      <w:tblW w:w="0" w:type="auto"/>
      <w:jc w:val="center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2265"/>
      <w:gridCol w:w="2266"/>
      <w:gridCol w:w="2266"/>
    </w:tblGrid>
    <w:tr w:rsidR="009C4E3D" w14:paraId="522718CE" w14:textId="77777777" w:rsidTr="003A6133">
      <w:trPr>
        <w:jc w:val="center"/>
      </w:trPr>
      <w:tc>
        <w:tcPr>
          <w:tcW w:w="2265" w:type="dxa"/>
        </w:tcPr>
        <w:p w14:paraId="3D12AFF8" w14:textId="77777777" w:rsidR="009C4E3D" w:rsidRDefault="009C4E3D" w:rsidP="009C4E3D">
          <w:r>
            <w:rPr>
              <w:noProof/>
              <w:lang w:eastAsia="pl-PL"/>
            </w:rPr>
            <w:drawing>
              <wp:inline distT="0" distB="0" distL="0" distR="0" wp14:anchorId="5F0C6ACC" wp14:editId="7A69F92F">
                <wp:extent cx="511200" cy="360000"/>
                <wp:effectExtent l="0" t="0" r="3175" b="2540"/>
                <wp:docPr id="2012880338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12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t xml:space="preserve">          </w:t>
          </w:r>
          <w:r>
            <w:rPr>
              <w:noProof/>
              <w:lang w:eastAsia="pl-PL"/>
            </w:rPr>
            <w:drawing>
              <wp:inline distT="0" distB="0" distL="0" distR="0" wp14:anchorId="4E89818D" wp14:editId="0C3BD345">
                <wp:extent cx="360000" cy="360000"/>
                <wp:effectExtent l="0" t="0" r="2540" b="2540"/>
                <wp:docPr id="171533907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0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10F594B0" w14:textId="77777777" w:rsidR="009C4E3D" w:rsidRDefault="009C4E3D" w:rsidP="009C4E3D">
          <w:r>
            <w:rPr>
              <w:noProof/>
              <w:lang w:eastAsia="pl-PL"/>
            </w:rPr>
            <w:drawing>
              <wp:inline distT="0" distB="0" distL="0" distR="0" wp14:anchorId="6E24B7C2" wp14:editId="11AA8870">
                <wp:extent cx="1299600" cy="360000"/>
                <wp:effectExtent l="0" t="0" r="0" b="2540"/>
                <wp:docPr id="1761326332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96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66" w:type="dxa"/>
        </w:tcPr>
        <w:p w14:paraId="3855E460" w14:textId="77777777" w:rsidR="009C4E3D" w:rsidRDefault="009C4E3D" w:rsidP="009C4E3D">
          <w:r>
            <w:rPr>
              <w:noProof/>
              <w:lang w:eastAsia="pl-PL"/>
            </w:rPr>
            <w:drawing>
              <wp:inline distT="0" distB="0" distL="0" distR="0" wp14:anchorId="5640E702" wp14:editId="12EB2C05">
                <wp:extent cx="1198800" cy="360000"/>
                <wp:effectExtent l="0" t="0" r="1905" b="2540"/>
                <wp:docPr id="71661675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8800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EF802F" w14:textId="77777777" w:rsidR="009C4E3D" w:rsidRPr="00576955" w:rsidRDefault="009C4E3D" w:rsidP="009C4E3D">
    <w:pPr>
      <w:jc w:val="center"/>
      <w:rPr>
        <w:rFonts w:cstheme="minorHAnsi"/>
        <w:i/>
        <w:sz w:val="18"/>
        <w:szCs w:val="18"/>
      </w:rPr>
    </w:pPr>
    <w:r w:rsidRPr="00576955">
      <w:rPr>
        <w:rFonts w:cstheme="minorHAnsi"/>
        <w:i/>
        <w:sz w:val="18"/>
        <w:szCs w:val="18"/>
      </w:rPr>
      <w:t>Projekt: „Utworzenie i wsparcie funkcjonowania Branżowego Centrum Umiejętności realizującego koncepcję centrum doskonałości zawodowej (</w:t>
    </w:r>
    <w:proofErr w:type="spellStart"/>
    <w:r w:rsidRPr="00576955">
      <w:rPr>
        <w:rFonts w:cstheme="minorHAnsi"/>
        <w:i/>
        <w:sz w:val="18"/>
        <w:szCs w:val="18"/>
      </w:rPr>
      <w:t>CoVEs</w:t>
    </w:r>
    <w:proofErr w:type="spellEnd"/>
    <w:r w:rsidRPr="00576955">
      <w:rPr>
        <w:rFonts w:cstheme="minorHAnsi"/>
        <w:i/>
        <w:sz w:val="18"/>
        <w:szCs w:val="18"/>
      </w:rPr>
      <w:t xml:space="preserve">) dla dziedziny górnictwo podziemne, przeróbka rud metali i surowców mineralnych” </w:t>
    </w:r>
    <w:r>
      <w:rPr>
        <w:rFonts w:cstheme="minorHAnsi"/>
        <w:i/>
        <w:sz w:val="18"/>
        <w:szCs w:val="18"/>
      </w:rPr>
      <w:br/>
    </w:r>
    <w:r w:rsidRPr="00576955">
      <w:rPr>
        <w:rFonts w:cstheme="minorHAnsi"/>
        <w:i/>
        <w:sz w:val="18"/>
        <w:szCs w:val="18"/>
      </w:rPr>
      <w:t xml:space="preserve">(nr umowy </w:t>
    </w:r>
    <w:r w:rsidRPr="00576955">
      <w:rPr>
        <w:rFonts w:cstheme="minorHAnsi"/>
        <w:i/>
        <w:sz w:val="18"/>
        <w:szCs w:val="18"/>
        <w:lang w:eastAsia="pl-PL"/>
      </w:rPr>
      <w:t>KPO/22/BCU/W/0044), współfinansowany przez</w:t>
    </w:r>
    <w:r w:rsidRPr="00576955">
      <w:rPr>
        <w:rFonts w:cstheme="minorHAnsi"/>
        <w:i/>
        <w:sz w:val="18"/>
        <w:szCs w:val="18"/>
      </w:rPr>
      <w:t xml:space="preserve"> Unię Europejską ze środków Krajowego Planu Odbudowy (budżet: 10 998 415,54 zł).</w:t>
    </w:r>
  </w:p>
  <w:p w14:paraId="3F1573C0" w14:textId="77777777" w:rsidR="009C4E3D" w:rsidRDefault="009965C4" w:rsidP="009C4E3D">
    <w:pPr>
      <w:pStyle w:val="Stopka"/>
      <w:jc w:val="right"/>
    </w:pPr>
    <w:sdt>
      <w:sdtPr>
        <w:id w:val="-130638566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9C4E3D">
              <w:t xml:space="preserve">Strona </w:t>
            </w:r>
            <w:r w:rsidR="009C4E3D">
              <w:rPr>
                <w:b/>
                <w:bCs/>
                <w:sz w:val="24"/>
                <w:szCs w:val="24"/>
              </w:rPr>
              <w:fldChar w:fldCharType="begin"/>
            </w:r>
            <w:r w:rsidR="009C4E3D">
              <w:rPr>
                <w:b/>
                <w:bCs/>
              </w:rPr>
              <w:instrText>PAGE</w:instrText>
            </w:r>
            <w:r w:rsidR="009C4E3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 w:rsidR="009C4E3D">
              <w:rPr>
                <w:b/>
                <w:bCs/>
                <w:sz w:val="24"/>
                <w:szCs w:val="24"/>
              </w:rPr>
              <w:fldChar w:fldCharType="end"/>
            </w:r>
            <w:r w:rsidR="009C4E3D">
              <w:t xml:space="preserve"> z </w:t>
            </w:r>
            <w:r w:rsidR="009C4E3D">
              <w:rPr>
                <w:b/>
                <w:bCs/>
                <w:sz w:val="24"/>
                <w:szCs w:val="24"/>
              </w:rPr>
              <w:fldChar w:fldCharType="begin"/>
            </w:r>
            <w:r w:rsidR="009C4E3D">
              <w:rPr>
                <w:b/>
                <w:bCs/>
              </w:rPr>
              <w:instrText>NUMPAGES</w:instrText>
            </w:r>
            <w:r w:rsidR="009C4E3D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20</w:t>
            </w:r>
            <w:r w:rsidR="009C4E3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35065D13" w14:textId="77777777" w:rsidR="009C4E3D" w:rsidRDefault="009C4E3D" w:rsidP="009C4E3D">
    <w:pPr>
      <w:pStyle w:val="Stopka"/>
    </w:pPr>
  </w:p>
  <w:p w14:paraId="22D3A10B" w14:textId="77777777" w:rsidR="00A809BE" w:rsidRPr="009C4E3D" w:rsidRDefault="00A809BE" w:rsidP="009C4E3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6BB08A" w14:textId="77777777" w:rsidR="00BD666A" w:rsidRDefault="00BD666A">
      <w:pPr>
        <w:spacing w:after="0" w:line="240" w:lineRule="auto"/>
      </w:pPr>
      <w:r>
        <w:separator/>
      </w:r>
    </w:p>
  </w:footnote>
  <w:footnote w:type="continuationSeparator" w:id="0">
    <w:p w14:paraId="2109848F" w14:textId="77777777" w:rsidR="00BD666A" w:rsidRDefault="00BD6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67C8D" w14:textId="77777777" w:rsidR="009C4E3D" w:rsidRDefault="009C4E3D" w:rsidP="009C4E3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52267C8" wp14:editId="63F4248B">
          <wp:extent cx="5469890" cy="815172"/>
          <wp:effectExtent l="0" t="0" r="0" b="4445"/>
          <wp:docPr id="180399815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9" t="33438" r="-1" b="31145"/>
                  <a:stretch/>
                </pic:blipFill>
                <pic:spPr bwMode="auto">
                  <a:xfrm>
                    <a:off x="0" y="0"/>
                    <a:ext cx="5497975" cy="819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BF4F89B" w14:textId="77777777" w:rsidR="009C4E3D" w:rsidRDefault="009C4E3D" w:rsidP="009C4E3D">
    <w:pPr>
      <w:pStyle w:val="Nagwek"/>
      <w:jc w:val="center"/>
    </w:pPr>
    <w:r>
      <w:t xml:space="preserve">Branżowe Centrum Umiejętności – Górnictwa Rud 4.0 </w:t>
    </w:r>
  </w:p>
  <w:p w14:paraId="4FF1FB72" w14:textId="77777777" w:rsidR="009C4E3D" w:rsidRDefault="009C4E3D" w:rsidP="009C4E3D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82ACDE0" wp14:editId="0D28DB00">
              <wp:simplePos x="0" y="0"/>
              <wp:positionH relativeFrom="column">
                <wp:posOffset>-69215</wp:posOffset>
              </wp:positionH>
              <wp:positionV relativeFrom="paragraph">
                <wp:posOffset>137795</wp:posOffset>
              </wp:positionV>
              <wp:extent cx="5852160" cy="11430"/>
              <wp:effectExtent l="0" t="19050" r="53340" b="4572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52160" cy="11430"/>
                      </a:xfrm>
                      <a:prstGeom prst="line">
                        <a:avLst/>
                      </a:prstGeom>
                      <a:noFill/>
                      <a:ln w="50800" cap="flat" cmpd="dbl" algn="ctr">
                        <a:solidFill>
                          <a:srgbClr val="5B9BD5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5684A53B" id="Łącznik prostoliniowy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5pt,10.85pt" to="455.3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" strokecolor="#5b9bd5" strokeweight="4pt">
              <v:stroke linestyle="thinThin"/>
            </v:line>
          </w:pict>
        </mc:Fallback>
      </mc:AlternateContent>
    </w:r>
  </w:p>
  <w:p w14:paraId="1148138B" w14:textId="77777777" w:rsidR="009C4E3D" w:rsidRDefault="009C4E3D" w:rsidP="009C4E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E177A"/>
    <w:multiLevelType w:val="hybridMultilevel"/>
    <w:tmpl w:val="9A0C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6A4665"/>
    <w:multiLevelType w:val="hybridMultilevel"/>
    <w:tmpl w:val="A016F01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600854"/>
    <w:multiLevelType w:val="hybridMultilevel"/>
    <w:tmpl w:val="E9424C92"/>
    <w:lvl w:ilvl="0" w:tplc="BCDCB3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95E0CD5"/>
    <w:multiLevelType w:val="hybridMultilevel"/>
    <w:tmpl w:val="F500B2D6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B03657"/>
    <w:multiLevelType w:val="hybridMultilevel"/>
    <w:tmpl w:val="BDBA0280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EE35AC0"/>
    <w:multiLevelType w:val="hybridMultilevel"/>
    <w:tmpl w:val="9F0CFAA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1FC3118"/>
    <w:multiLevelType w:val="hybridMultilevel"/>
    <w:tmpl w:val="2CFC3D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816369F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B610778"/>
    <w:multiLevelType w:val="hybridMultilevel"/>
    <w:tmpl w:val="8D3CDCB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247A1889"/>
    <w:multiLevelType w:val="hybridMultilevel"/>
    <w:tmpl w:val="A87888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8E1D67"/>
    <w:multiLevelType w:val="hybridMultilevel"/>
    <w:tmpl w:val="54AA60B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ECB6A0F"/>
    <w:multiLevelType w:val="hybridMultilevel"/>
    <w:tmpl w:val="067E4990"/>
    <w:lvl w:ilvl="0" w:tplc="CDAE33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5B7378B"/>
    <w:multiLevelType w:val="hybridMultilevel"/>
    <w:tmpl w:val="096CB4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EA0883"/>
    <w:multiLevelType w:val="hybridMultilevel"/>
    <w:tmpl w:val="CA8E4DB6"/>
    <w:lvl w:ilvl="0" w:tplc="BF408712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142087B"/>
    <w:multiLevelType w:val="hybridMultilevel"/>
    <w:tmpl w:val="192853A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1">
      <w:start w:val="1"/>
      <w:numFmt w:val="decimal"/>
      <w:lvlText w:val="%3)"/>
      <w:lvlJc w:val="lef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54701395"/>
    <w:multiLevelType w:val="hybridMultilevel"/>
    <w:tmpl w:val="BDC856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35DCC"/>
    <w:multiLevelType w:val="hybridMultilevel"/>
    <w:tmpl w:val="4A0C14E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6460623"/>
    <w:multiLevelType w:val="hybridMultilevel"/>
    <w:tmpl w:val="C1A0B98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9A42B9"/>
    <w:multiLevelType w:val="hybridMultilevel"/>
    <w:tmpl w:val="1CE03722"/>
    <w:lvl w:ilvl="0" w:tplc="AF0A8342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2">
    <w:nsid w:val="5B3142D5"/>
    <w:multiLevelType w:val="hybridMultilevel"/>
    <w:tmpl w:val="303A77FE"/>
    <w:lvl w:ilvl="0" w:tplc="04150011">
      <w:start w:val="1"/>
      <w:numFmt w:val="decimal"/>
      <w:lvlText w:val="%1)"/>
      <w:lvlJc w:val="left"/>
      <w:pPr>
        <w:ind w:left="3912" w:hanging="360"/>
      </w:pPr>
    </w:lvl>
    <w:lvl w:ilvl="1" w:tplc="04150019" w:tentative="1">
      <w:start w:val="1"/>
      <w:numFmt w:val="lowerLetter"/>
      <w:lvlText w:val="%2."/>
      <w:lvlJc w:val="left"/>
      <w:pPr>
        <w:ind w:left="4632" w:hanging="360"/>
      </w:pPr>
    </w:lvl>
    <w:lvl w:ilvl="2" w:tplc="0415001B" w:tentative="1">
      <w:start w:val="1"/>
      <w:numFmt w:val="lowerRoman"/>
      <w:lvlText w:val="%3."/>
      <w:lvlJc w:val="right"/>
      <w:pPr>
        <w:ind w:left="5352" w:hanging="180"/>
      </w:pPr>
    </w:lvl>
    <w:lvl w:ilvl="3" w:tplc="0415000F" w:tentative="1">
      <w:start w:val="1"/>
      <w:numFmt w:val="decimal"/>
      <w:lvlText w:val="%4."/>
      <w:lvlJc w:val="left"/>
      <w:pPr>
        <w:ind w:left="6072" w:hanging="360"/>
      </w:pPr>
    </w:lvl>
    <w:lvl w:ilvl="4" w:tplc="04150019" w:tentative="1">
      <w:start w:val="1"/>
      <w:numFmt w:val="lowerLetter"/>
      <w:lvlText w:val="%5."/>
      <w:lvlJc w:val="left"/>
      <w:pPr>
        <w:ind w:left="6792" w:hanging="360"/>
      </w:pPr>
    </w:lvl>
    <w:lvl w:ilvl="5" w:tplc="0415001B" w:tentative="1">
      <w:start w:val="1"/>
      <w:numFmt w:val="lowerRoman"/>
      <w:lvlText w:val="%6."/>
      <w:lvlJc w:val="right"/>
      <w:pPr>
        <w:ind w:left="7512" w:hanging="180"/>
      </w:pPr>
    </w:lvl>
    <w:lvl w:ilvl="6" w:tplc="0415000F" w:tentative="1">
      <w:start w:val="1"/>
      <w:numFmt w:val="decimal"/>
      <w:lvlText w:val="%7."/>
      <w:lvlJc w:val="left"/>
      <w:pPr>
        <w:ind w:left="8232" w:hanging="360"/>
      </w:pPr>
    </w:lvl>
    <w:lvl w:ilvl="7" w:tplc="04150019" w:tentative="1">
      <w:start w:val="1"/>
      <w:numFmt w:val="lowerLetter"/>
      <w:lvlText w:val="%8."/>
      <w:lvlJc w:val="left"/>
      <w:pPr>
        <w:ind w:left="8952" w:hanging="360"/>
      </w:pPr>
    </w:lvl>
    <w:lvl w:ilvl="8" w:tplc="0415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3">
    <w:nsid w:val="5F8718C7"/>
    <w:multiLevelType w:val="hybridMultilevel"/>
    <w:tmpl w:val="5BC067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086493"/>
    <w:multiLevelType w:val="hybridMultilevel"/>
    <w:tmpl w:val="623AB2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D96EF9"/>
    <w:multiLevelType w:val="hybridMultilevel"/>
    <w:tmpl w:val="5DB442C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F4E65C0"/>
    <w:multiLevelType w:val="hybridMultilevel"/>
    <w:tmpl w:val="164A61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856083"/>
    <w:multiLevelType w:val="hybridMultilevel"/>
    <w:tmpl w:val="BC382E58"/>
    <w:lvl w:ilvl="0" w:tplc="62249AF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0F">
      <w:start w:val="1"/>
      <w:numFmt w:val="decimal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27F33F9"/>
    <w:multiLevelType w:val="hybridMultilevel"/>
    <w:tmpl w:val="66261F0A"/>
    <w:lvl w:ilvl="0" w:tplc="67360B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F689E4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37FC3D8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93244"/>
    <w:multiLevelType w:val="hybridMultilevel"/>
    <w:tmpl w:val="52D29422"/>
    <w:lvl w:ilvl="0" w:tplc="53927F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200793"/>
    <w:multiLevelType w:val="hybridMultilevel"/>
    <w:tmpl w:val="7EBC66D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0"/>
  </w:num>
  <w:num w:numId="2">
    <w:abstractNumId w:val="35"/>
  </w:num>
  <w:num w:numId="3">
    <w:abstractNumId w:val="21"/>
  </w:num>
  <w:num w:numId="4">
    <w:abstractNumId w:val="16"/>
  </w:num>
  <w:num w:numId="5">
    <w:abstractNumId w:val="12"/>
  </w:num>
  <w:num w:numId="6">
    <w:abstractNumId w:val="14"/>
  </w:num>
  <w:num w:numId="7">
    <w:abstractNumId w:val="27"/>
  </w:num>
  <w:num w:numId="8">
    <w:abstractNumId w:val="39"/>
  </w:num>
  <w:num w:numId="9">
    <w:abstractNumId w:val="10"/>
  </w:num>
  <w:num w:numId="10">
    <w:abstractNumId w:val="38"/>
  </w:num>
  <w:num w:numId="11">
    <w:abstractNumId w:val="13"/>
  </w:num>
  <w:num w:numId="12">
    <w:abstractNumId w:val="5"/>
  </w:num>
  <w:num w:numId="13">
    <w:abstractNumId w:val="9"/>
  </w:num>
  <w:num w:numId="14">
    <w:abstractNumId w:val="11"/>
  </w:num>
  <w:num w:numId="15">
    <w:abstractNumId w:val="26"/>
  </w:num>
  <w:num w:numId="16">
    <w:abstractNumId w:val="34"/>
  </w:num>
  <w:num w:numId="17">
    <w:abstractNumId w:val="24"/>
  </w:num>
  <w:num w:numId="18">
    <w:abstractNumId w:val="7"/>
  </w:num>
  <w:num w:numId="19">
    <w:abstractNumId w:val="8"/>
  </w:num>
  <w:num w:numId="20">
    <w:abstractNumId w:val="0"/>
  </w:num>
  <w:num w:numId="21">
    <w:abstractNumId w:val="42"/>
  </w:num>
  <w:num w:numId="22">
    <w:abstractNumId w:val="30"/>
  </w:num>
  <w:num w:numId="23">
    <w:abstractNumId w:val="31"/>
  </w:num>
  <w:num w:numId="24">
    <w:abstractNumId w:val="28"/>
  </w:num>
  <w:num w:numId="25">
    <w:abstractNumId w:val="33"/>
  </w:num>
  <w:num w:numId="26">
    <w:abstractNumId w:val="4"/>
  </w:num>
  <w:num w:numId="27">
    <w:abstractNumId w:val="15"/>
  </w:num>
  <w:num w:numId="28">
    <w:abstractNumId w:val="17"/>
  </w:num>
  <w:num w:numId="29">
    <w:abstractNumId w:val="3"/>
  </w:num>
  <w:num w:numId="30">
    <w:abstractNumId w:val="6"/>
  </w:num>
  <w:num w:numId="31">
    <w:abstractNumId w:val="23"/>
  </w:num>
  <w:num w:numId="32">
    <w:abstractNumId w:val="41"/>
  </w:num>
  <w:num w:numId="33">
    <w:abstractNumId w:val="37"/>
  </w:num>
  <w:num w:numId="34">
    <w:abstractNumId w:val="2"/>
  </w:num>
  <w:num w:numId="35">
    <w:abstractNumId w:val="1"/>
  </w:num>
  <w:num w:numId="36">
    <w:abstractNumId w:val="25"/>
  </w:num>
  <w:num w:numId="37">
    <w:abstractNumId w:val="18"/>
  </w:num>
  <w:num w:numId="38">
    <w:abstractNumId w:val="19"/>
  </w:num>
  <w:num w:numId="39">
    <w:abstractNumId w:val="22"/>
  </w:num>
  <w:num w:numId="40">
    <w:abstractNumId w:val="20"/>
  </w:num>
  <w:num w:numId="41">
    <w:abstractNumId w:val="32"/>
  </w:num>
  <w:num w:numId="42">
    <w:abstractNumId w:val="29"/>
  </w:num>
  <w:num w:numId="4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15E"/>
    <w:rsid w:val="0001778F"/>
    <w:rsid w:val="00083424"/>
    <w:rsid w:val="001131B6"/>
    <w:rsid w:val="001A4F64"/>
    <w:rsid w:val="001B0267"/>
    <w:rsid w:val="00262A69"/>
    <w:rsid w:val="00263623"/>
    <w:rsid w:val="002778DC"/>
    <w:rsid w:val="00294FD9"/>
    <w:rsid w:val="00381F6D"/>
    <w:rsid w:val="00397E26"/>
    <w:rsid w:val="003A7EA8"/>
    <w:rsid w:val="003B7921"/>
    <w:rsid w:val="0043515E"/>
    <w:rsid w:val="00446F38"/>
    <w:rsid w:val="004726C1"/>
    <w:rsid w:val="00480C10"/>
    <w:rsid w:val="004B0F87"/>
    <w:rsid w:val="004C6416"/>
    <w:rsid w:val="004D0083"/>
    <w:rsid w:val="00514F62"/>
    <w:rsid w:val="0054155B"/>
    <w:rsid w:val="00545F1B"/>
    <w:rsid w:val="00573170"/>
    <w:rsid w:val="005C1C09"/>
    <w:rsid w:val="006533CE"/>
    <w:rsid w:val="00676317"/>
    <w:rsid w:val="00677641"/>
    <w:rsid w:val="00695564"/>
    <w:rsid w:val="006F6FD1"/>
    <w:rsid w:val="0071495D"/>
    <w:rsid w:val="007407D8"/>
    <w:rsid w:val="007415E2"/>
    <w:rsid w:val="00763981"/>
    <w:rsid w:val="00782300"/>
    <w:rsid w:val="00790C4F"/>
    <w:rsid w:val="00850DA1"/>
    <w:rsid w:val="008C5AC8"/>
    <w:rsid w:val="008E0339"/>
    <w:rsid w:val="008F7671"/>
    <w:rsid w:val="00922E9A"/>
    <w:rsid w:val="009676E5"/>
    <w:rsid w:val="009965C4"/>
    <w:rsid w:val="009B3946"/>
    <w:rsid w:val="009B6947"/>
    <w:rsid w:val="009C4E3D"/>
    <w:rsid w:val="00A113B1"/>
    <w:rsid w:val="00A1532C"/>
    <w:rsid w:val="00A40A79"/>
    <w:rsid w:val="00A41218"/>
    <w:rsid w:val="00A52217"/>
    <w:rsid w:val="00A76356"/>
    <w:rsid w:val="00A809BE"/>
    <w:rsid w:val="00AA6F34"/>
    <w:rsid w:val="00AE591C"/>
    <w:rsid w:val="00AF7897"/>
    <w:rsid w:val="00B315F9"/>
    <w:rsid w:val="00B633B1"/>
    <w:rsid w:val="00B72BE9"/>
    <w:rsid w:val="00B87EB9"/>
    <w:rsid w:val="00B96F86"/>
    <w:rsid w:val="00BD666A"/>
    <w:rsid w:val="00C07CFF"/>
    <w:rsid w:val="00C208E4"/>
    <w:rsid w:val="00C83EF5"/>
    <w:rsid w:val="00CC15BA"/>
    <w:rsid w:val="00D00B19"/>
    <w:rsid w:val="00D23645"/>
    <w:rsid w:val="00D535FF"/>
    <w:rsid w:val="00D5682A"/>
    <w:rsid w:val="00D662AE"/>
    <w:rsid w:val="00D7355A"/>
    <w:rsid w:val="00D93366"/>
    <w:rsid w:val="00DA684F"/>
    <w:rsid w:val="00DC0F89"/>
    <w:rsid w:val="00E43199"/>
    <w:rsid w:val="00E4559B"/>
    <w:rsid w:val="00E562E6"/>
    <w:rsid w:val="00E71814"/>
    <w:rsid w:val="00EB0F4A"/>
    <w:rsid w:val="00EC6CBC"/>
    <w:rsid w:val="00ED1C72"/>
    <w:rsid w:val="00ED7D85"/>
    <w:rsid w:val="00EE3E9D"/>
    <w:rsid w:val="00F12A73"/>
    <w:rsid w:val="00F22E09"/>
    <w:rsid w:val="00F240B3"/>
    <w:rsid w:val="00F2743F"/>
    <w:rsid w:val="00F31B5F"/>
    <w:rsid w:val="00F60B9A"/>
    <w:rsid w:val="00FB2AC9"/>
    <w:rsid w:val="00FE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21C5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15E"/>
  </w:style>
  <w:style w:type="paragraph" w:styleId="Stopka">
    <w:name w:val="footer"/>
    <w:basedOn w:val="Normalny"/>
    <w:link w:val="StopkaZnak"/>
    <w:uiPriority w:val="99"/>
    <w:unhideWhenUsed/>
    <w:rsid w:val="0043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15E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4351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515E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43515E"/>
  </w:style>
  <w:style w:type="table" w:styleId="Tabela-Siatka">
    <w:name w:val="Table Grid"/>
    <w:basedOn w:val="Standardowy"/>
    <w:uiPriority w:val="39"/>
    <w:rsid w:val="009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181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51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15E"/>
  </w:style>
  <w:style w:type="paragraph" w:styleId="Stopka">
    <w:name w:val="footer"/>
    <w:basedOn w:val="Normalny"/>
    <w:link w:val="StopkaZnak"/>
    <w:uiPriority w:val="99"/>
    <w:unhideWhenUsed/>
    <w:rsid w:val="004351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15E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43515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3515E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43515E"/>
  </w:style>
  <w:style w:type="table" w:styleId="Tabela-Siatka">
    <w:name w:val="Table Grid"/>
    <w:basedOn w:val="Standardowy"/>
    <w:uiPriority w:val="39"/>
    <w:rsid w:val="009C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E7181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hyperlink" Target="mailto:biuro@giph.com.p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biuro@giph.com.p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cu@giph.com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biuro@giph.com.pl" TargetMode="External"/><Relationship Id="rId10" Type="http://schemas.openxmlformats.org/officeDocument/2006/relationships/hyperlink" Target="mailto:bcu@giph.co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biuro@giph.com.pl" TargetMode="External"/><Relationship Id="rId14" Type="http://schemas.openxmlformats.org/officeDocument/2006/relationships/hyperlink" Target="mailto:biuro@giph.com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3044</Words>
  <Characters>18270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AZ</cp:lastModifiedBy>
  <cp:revision>5</cp:revision>
  <cp:lastPrinted>2024-04-29T10:29:00Z</cp:lastPrinted>
  <dcterms:created xsi:type="dcterms:W3CDTF">2024-04-29T08:56:00Z</dcterms:created>
  <dcterms:modified xsi:type="dcterms:W3CDTF">2024-04-29T10:29:00Z</dcterms:modified>
</cp:coreProperties>
</file>